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EB182">
      <w:pPr>
        <w:spacing w:line="588" w:lineRule="exact"/>
        <w:ind w:firstLine="0" w:firstLineChars="0"/>
        <w:rPr>
          <w:rFonts w:eastAsia="黑体" w:cs="Times New Roman"/>
          <w:color w:val="000000" w:themeColor="text1"/>
          <w:kern w:val="0"/>
          <w:sz w:val="32"/>
          <w:szCs w:val="32"/>
          <w14:textFill>
            <w14:solidFill>
              <w14:schemeClr w14:val="tx1"/>
            </w14:solidFill>
          </w14:textFill>
        </w:rPr>
      </w:pPr>
      <w:r>
        <w:rPr>
          <w:rFonts w:eastAsia="黑体" w:cs="Times New Roman"/>
          <w:color w:val="000000" w:themeColor="text1"/>
          <w:kern w:val="0"/>
          <w:sz w:val="32"/>
          <w:szCs w:val="32"/>
          <w14:textFill>
            <w14:solidFill>
              <w14:schemeClr w14:val="tx1"/>
            </w14:solidFill>
          </w14:textFill>
        </w:rPr>
        <w:t>附件2</w:t>
      </w:r>
    </w:p>
    <w:p w14:paraId="641B73E5">
      <w:pPr>
        <w:spacing w:line="588" w:lineRule="exact"/>
        <w:ind w:firstLine="0" w:firstLineChars="0"/>
        <w:jc w:val="center"/>
        <w:rPr>
          <w:rFonts w:cs="Times New Roman" w:eastAsiaTheme="minorEastAsia"/>
          <w:b/>
          <w:bCs/>
          <w:color w:val="000000" w:themeColor="text1"/>
          <w:sz w:val="40"/>
          <w:szCs w:val="40"/>
          <w:shd w:val="clear" w:color="auto" w:fill="FFFFFF"/>
          <w14:textFill>
            <w14:solidFill>
              <w14:schemeClr w14:val="tx1"/>
            </w14:solidFill>
          </w14:textFill>
        </w:rPr>
      </w:pPr>
    </w:p>
    <w:p w14:paraId="3B271915">
      <w:pPr>
        <w:spacing w:line="588" w:lineRule="exact"/>
        <w:ind w:firstLine="0" w:firstLineChars="0"/>
        <w:jc w:val="center"/>
        <w:rPr>
          <w:rFonts w:cs="Times New Roman" w:eastAsiaTheme="minorEastAsia"/>
          <w:b/>
          <w:bCs/>
          <w:color w:val="000000" w:themeColor="text1"/>
          <w:sz w:val="40"/>
          <w:szCs w:val="40"/>
          <w:shd w:val="clear" w:color="auto" w:fill="FFFFFF"/>
          <w14:textFill>
            <w14:solidFill>
              <w14:schemeClr w14:val="tx1"/>
            </w14:solidFill>
          </w14:textFill>
        </w:rPr>
      </w:pPr>
    </w:p>
    <w:p w14:paraId="71C6C030">
      <w:pPr>
        <w:spacing w:line="588" w:lineRule="exact"/>
        <w:ind w:firstLine="0" w:firstLineChars="0"/>
        <w:jc w:val="center"/>
        <w:rPr>
          <w:rFonts w:eastAsia="方正小标宋简体" w:cs="Times New Roman"/>
          <w:color w:val="000000" w:themeColor="text1"/>
          <w:sz w:val="40"/>
          <w:szCs w:val="40"/>
          <w:shd w:val="clear" w:color="auto" w:fill="FFFFFF"/>
          <w14:textFill>
            <w14:solidFill>
              <w14:schemeClr w14:val="tx1"/>
            </w14:solidFill>
          </w14:textFill>
        </w:rPr>
      </w:pPr>
      <w:bookmarkStart w:id="0" w:name="OLE_LINK8"/>
      <w:bookmarkStart w:id="1" w:name="OLE_LINK7"/>
      <w:r>
        <w:rPr>
          <w:rFonts w:eastAsia="方正小标宋简体" w:cs="Times New Roman"/>
          <w:color w:val="000000" w:themeColor="text1"/>
          <w:sz w:val="40"/>
          <w:szCs w:val="40"/>
          <w:shd w:val="clear" w:color="auto" w:fill="FFFFFF"/>
          <w14:textFill>
            <w14:solidFill>
              <w14:schemeClr w14:val="tx1"/>
            </w14:solidFill>
          </w14:textFill>
        </w:rPr>
        <w:t>绿色建筑和绿色建材政府采购需求标准</w:t>
      </w:r>
      <w:bookmarkEnd w:id="0"/>
      <w:bookmarkEnd w:id="1"/>
      <w:bookmarkStart w:id="201" w:name="_GoBack"/>
      <w:bookmarkEnd w:id="201"/>
    </w:p>
    <w:p w14:paraId="35197F2A">
      <w:pPr>
        <w:spacing w:line="588" w:lineRule="exact"/>
        <w:ind w:firstLine="0" w:firstLineChars="0"/>
        <w:jc w:val="center"/>
        <w:rPr>
          <w:rFonts w:eastAsia="方正小标宋简体" w:cs="Times New Roman"/>
          <w:color w:val="000000" w:themeColor="text1"/>
          <w:sz w:val="40"/>
          <w:szCs w:val="40"/>
          <w:shd w:val="clear" w:color="auto" w:fill="FFFFFF"/>
          <w14:textFill>
            <w14:solidFill>
              <w14:schemeClr w14:val="tx1"/>
            </w14:solidFill>
          </w14:textFill>
        </w:rPr>
      </w:pPr>
      <w:r>
        <w:rPr>
          <w:rFonts w:eastAsia="方正小标宋简体" w:cs="Times New Roman"/>
          <w:color w:val="000000" w:themeColor="text1"/>
          <w:sz w:val="40"/>
          <w:szCs w:val="40"/>
          <w:shd w:val="clear" w:color="auto" w:fill="FFFFFF"/>
          <w14:textFill>
            <w14:solidFill>
              <w14:schemeClr w14:val="tx1"/>
            </w14:solidFill>
          </w14:textFill>
        </w:rPr>
        <w:t>（2025年版）</w:t>
      </w:r>
    </w:p>
    <w:p w14:paraId="29CEF8A4">
      <w:pPr>
        <w:spacing w:line="588" w:lineRule="exact"/>
        <w:ind w:firstLine="560"/>
        <w:rPr>
          <w:rFonts w:cs="Times New Roman" w:eastAsiaTheme="minorEastAsia"/>
          <w:color w:val="000000" w:themeColor="text1"/>
          <w:szCs w:val="28"/>
          <w14:textFill>
            <w14:solidFill>
              <w14:schemeClr w14:val="tx1"/>
            </w14:solidFill>
          </w14:textFill>
        </w:rPr>
      </w:pPr>
    </w:p>
    <w:p w14:paraId="45E21FCC">
      <w:pPr>
        <w:spacing w:line="588" w:lineRule="exact"/>
        <w:ind w:firstLine="560"/>
        <w:rPr>
          <w:rFonts w:cs="Times New Roman" w:eastAsiaTheme="minorEastAsia"/>
          <w:color w:val="000000" w:themeColor="text1"/>
          <w:szCs w:val="28"/>
          <w14:textFill>
            <w14:solidFill>
              <w14:schemeClr w14:val="tx1"/>
            </w14:solidFill>
          </w14:textFill>
        </w:rPr>
      </w:pPr>
    </w:p>
    <w:p w14:paraId="624D1605">
      <w:pPr>
        <w:spacing w:line="588" w:lineRule="exact"/>
        <w:ind w:firstLine="560"/>
        <w:rPr>
          <w:rFonts w:cs="Times New Roman" w:eastAsiaTheme="minorEastAsia"/>
          <w:color w:val="000000" w:themeColor="text1"/>
          <w:szCs w:val="28"/>
          <w14:textFill>
            <w14:solidFill>
              <w14:schemeClr w14:val="tx1"/>
            </w14:solidFill>
          </w14:textFill>
        </w:rPr>
      </w:pPr>
    </w:p>
    <w:p w14:paraId="3293467D">
      <w:pPr>
        <w:spacing w:line="588" w:lineRule="exact"/>
        <w:ind w:firstLine="0" w:firstLineChars="0"/>
        <w:rPr>
          <w:rFonts w:cs="Times New Roman" w:eastAsiaTheme="minorEastAsia"/>
          <w:color w:val="000000" w:themeColor="text1"/>
          <w:szCs w:val="28"/>
          <w14:textFill>
            <w14:solidFill>
              <w14:schemeClr w14:val="tx1"/>
            </w14:solidFill>
          </w14:textFill>
        </w:rPr>
      </w:pPr>
    </w:p>
    <w:p w14:paraId="107EDF44">
      <w:pPr>
        <w:spacing w:line="588" w:lineRule="exact"/>
        <w:ind w:firstLine="560"/>
        <w:rPr>
          <w:rFonts w:cs="Times New Roman" w:eastAsiaTheme="minorEastAsia"/>
          <w:color w:val="000000" w:themeColor="text1"/>
          <w:szCs w:val="28"/>
          <w14:textFill>
            <w14:solidFill>
              <w14:schemeClr w14:val="tx1"/>
            </w14:solidFill>
          </w14:textFill>
        </w:rPr>
      </w:pPr>
    </w:p>
    <w:p w14:paraId="4012ACCA">
      <w:pPr>
        <w:spacing w:line="588" w:lineRule="exact"/>
        <w:ind w:firstLine="560"/>
        <w:rPr>
          <w:rFonts w:cs="Times New Roman" w:eastAsiaTheme="minorEastAsia"/>
          <w:color w:val="000000" w:themeColor="text1"/>
          <w:szCs w:val="28"/>
          <w14:textFill>
            <w14:solidFill>
              <w14:schemeClr w14:val="tx1"/>
            </w14:solidFill>
          </w14:textFill>
        </w:rPr>
      </w:pPr>
    </w:p>
    <w:p w14:paraId="5F60BFD2">
      <w:pPr>
        <w:spacing w:line="588" w:lineRule="exact"/>
        <w:ind w:firstLine="560"/>
        <w:rPr>
          <w:rFonts w:cs="Times New Roman" w:eastAsiaTheme="minorEastAsia"/>
          <w:color w:val="000000" w:themeColor="text1"/>
          <w:szCs w:val="28"/>
          <w14:textFill>
            <w14:solidFill>
              <w14:schemeClr w14:val="tx1"/>
            </w14:solidFill>
          </w14:textFill>
        </w:rPr>
      </w:pPr>
    </w:p>
    <w:p w14:paraId="240946B1">
      <w:pPr>
        <w:spacing w:line="588" w:lineRule="exact"/>
        <w:ind w:firstLine="560"/>
        <w:rPr>
          <w:rFonts w:cs="Times New Roman" w:eastAsiaTheme="minorEastAsia"/>
          <w:color w:val="000000" w:themeColor="text1"/>
          <w:szCs w:val="28"/>
          <w14:textFill>
            <w14:solidFill>
              <w14:schemeClr w14:val="tx1"/>
            </w14:solidFill>
          </w14:textFill>
        </w:rPr>
      </w:pPr>
    </w:p>
    <w:p w14:paraId="33864FEF">
      <w:pPr>
        <w:spacing w:line="588" w:lineRule="exact"/>
        <w:ind w:firstLine="560"/>
        <w:rPr>
          <w:rFonts w:cs="Times New Roman" w:eastAsiaTheme="minorEastAsia"/>
          <w:color w:val="000000" w:themeColor="text1"/>
          <w:szCs w:val="28"/>
          <w14:textFill>
            <w14:solidFill>
              <w14:schemeClr w14:val="tx1"/>
            </w14:solidFill>
          </w14:textFill>
        </w:rPr>
      </w:pPr>
    </w:p>
    <w:p w14:paraId="079E62C7">
      <w:pPr>
        <w:spacing w:line="588" w:lineRule="exact"/>
        <w:ind w:firstLine="560"/>
        <w:rPr>
          <w:rFonts w:cs="Times New Roman" w:eastAsiaTheme="minorEastAsia"/>
          <w:color w:val="000000" w:themeColor="text1"/>
          <w:szCs w:val="28"/>
          <w14:textFill>
            <w14:solidFill>
              <w14:schemeClr w14:val="tx1"/>
            </w14:solidFill>
          </w14:textFill>
        </w:rPr>
      </w:pPr>
    </w:p>
    <w:p w14:paraId="41C28015">
      <w:pPr>
        <w:spacing w:line="588" w:lineRule="exact"/>
        <w:ind w:firstLine="560"/>
        <w:rPr>
          <w:rFonts w:cs="Times New Roman" w:eastAsiaTheme="minorEastAsia"/>
          <w:color w:val="000000" w:themeColor="text1"/>
          <w:szCs w:val="28"/>
          <w14:textFill>
            <w14:solidFill>
              <w14:schemeClr w14:val="tx1"/>
            </w14:solidFill>
          </w14:textFill>
        </w:rPr>
      </w:pPr>
    </w:p>
    <w:p w14:paraId="7CA81FB3">
      <w:pPr>
        <w:spacing w:line="588" w:lineRule="exact"/>
        <w:ind w:firstLine="560"/>
        <w:rPr>
          <w:rFonts w:cs="Times New Roman" w:eastAsiaTheme="minorEastAsia"/>
          <w:color w:val="000000" w:themeColor="text1"/>
          <w:szCs w:val="28"/>
          <w14:textFill>
            <w14:solidFill>
              <w14:schemeClr w14:val="tx1"/>
            </w14:solidFill>
          </w14:textFill>
        </w:rPr>
      </w:pPr>
    </w:p>
    <w:p w14:paraId="2229F710">
      <w:pPr>
        <w:spacing w:line="588" w:lineRule="exact"/>
        <w:ind w:firstLine="560"/>
        <w:rPr>
          <w:rFonts w:cs="Times New Roman" w:eastAsiaTheme="minorEastAsia"/>
          <w:color w:val="000000" w:themeColor="text1"/>
          <w:szCs w:val="28"/>
          <w14:textFill>
            <w14:solidFill>
              <w14:schemeClr w14:val="tx1"/>
            </w14:solidFill>
          </w14:textFill>
        </w:rPr>
      </w:pPr>
    </w:p>
    <w:p w14:paraId="011607A7">
      <w:pPr>
        <w:spacing w:line="588" w:lineRule="exact"/>
        <w:ind w:firstLine="560"/>
        <w:rPr>
          <w:rFonts w:cs="Times New Roman" w:eastAsiaTheme="minorEastAsia"/>
          <w:color w:val="000000" w:themeColor="text1"/>
          <w:szCs w:val="28"/>
          <w14:textFill>
            <w14:solidFill>
              <w14:schemeClr w14:val="tx1"/>
            </w14:solidFill>
          </w14:textFill>
        </w:rPr>
      </w:pPr>
    </w:p>
    <w:p w14:paraId="720AFC88">
      <w:pPr>
        <w:spacing w:line="588" w:lineRule="exact"/>
        <w:ind w:firstLine="560"/>
        <w:rPr>
          <w:rFonts w:cs="Times New Roman" w:eastAsiaTheme="minorEastAsia"/>
          <w:color w:val="000000" w:themeColor="text1"/>
          <w:szCs w:val="28"/>
          <w14:textFill>
            <w14:solidFill>
              <w14:schemeClr w14:val="tx1"/>
            </w14:solidFill>
          </w14:textFill>
        </w:rPr>
      </w:pPr>
    </w:p>
    <w:p w14:paraId="451F55E2">
      <w:pPr>
        <w:spacing w:line="588" w:lineRule="exact"/>
        <w:ind w:firstLine="0" w:firstLineChars="0"/>
        <w:rPr>
          <w:rFonts w:eastAsia="黑体" w:cs="Times New Roman"/>
          <w:color w:val="000000" w:themeColor="text1"/>
          <w:sz w:val="32"/>
          <w:szCs w:val="32"/>
          <w14:textFill>
            <w14:solidFill>
              <w14:schemeClr w14:val="tx1"/>
            </w14:solidFill>
          </w14:textFill>
        </w:rPr>
      </w:pPr>
    </w:p>
    <w:p w14:paraId="07890E7F">
      <w:pPr>
        <w:pStyle w:val="49"/>
        <w:spacing w:line="588" w:lineRule="exact"/>
        <w:jc w:val="center"/>
        <w:rPr>
          <w:rFonts w:ascii="Times New Roman" w:hAnsi="Times New Roman" w:eastAsia="黑体" w:cs="Times New Roman"/>
          <w:color w:val="000000" w:themeColor="text1"/>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1906" w:h="16838"/>
          <w:pgMar w:top="1701" w:right="1871" w:bottom="1701" w:left="1871" w:header="851" w:footer="992" w:gutter="0"/>
          <w:pgNumType w:start="1"/>
          <w:cols w:space="425" w:num="1"/>
          <w:docGrid w:type="lines" w:linePitch="312" w:charSpace="0"/>
        </w:sectPr>
      </w:pPr>
      <w:r>
        <w:rPr>
          <w:rFonts w:ascii="Times New Roman" w:hAnsi="Times New Roman" w:eastAsia="黑体" w:cs="Times New Roman"/>
          <w:color w:val="000000" w:themeColor="text1"/>
          <w14:textFill>
            <w14:solidFill>
              <w14:schemeClr w14:val="tx1"/>
            </w14:solidFill>
          </w14:textFill>
        </w:rPr>
        <w:t>2024年12月</w:t>
      </w:r>
    </w:p>
    <w:p w14:paraId="3A0F6C20">
      <w:pPr>
        <w:pStyle w:val="49"/>
        <w:spacing w:line="588" w:lineRule="exact"/>
        <w:jc w:val="center"/>
        <w:rPr>
          <w:rFonts w:ascii="Times New Roman" w:hAnsi="Times New Roman" w:eastAsia="黑体" w:cs="Times New Roman"/>
          <w:color w:val="000000" w:themeColor="text1"/>
          <w:kern w:val="2"/>
          <w:szCs w:val="28"/>
          <w14:textFill>
            <w14:solidFill>
              <w14:schemeClr w14:val="tx1"/>
            </w14:solidFill>
          </w14:textFill>
        </w:rPr>
      </w:pPr>
      <w:r>
        <w:rPr>
          <w:rFonts w:ascii="Times New Roman" w:hAnsi="Times New Roman" w:eastAsia="黑体" w:cs="Times New Roman"/>
          <w:color w:val="000000" w:themeColor="text1"/>
          <w:kern w:val="2"/>
          <w:szCs w:val="28"/>
          <w14:textFill>
            <w14:solidFill>
              <w14:schemeClr w14:val="tx1"/>
            </w14:solidFill>
          </w14:textFill>
        </w:rPr>
        <w:t>前    言</w:t>
      </w:r>
    </w:p>
    <w:p w14:paraId="53046B13">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按照国务院办公厅《</w:t>
      </w:r>
      <w:r>
        <w:rPr>
          <w:rFonts w:cs="Times New Roman"/>
          <w:color w:val="000000" w:themeColor="text1"/>
          <w:shd w:val="clear" w:color="auto" w:fill="FFFFFF"/>
          <w14:textFill>
            <w14:solidFill>
              <w14:schemeClr w14:val="tx1"/>
            </w14:solidFill>
          </w14:textFill>
        </w:rPr>
        <w:t>政府采购领域“整顿市场秩序、建设法规体系、促进产业发展”三年行动方案（2024—2026年）</w:t>
      </w:r>
      <w:r>
        <w:rPr>
          <w:rFonts w:cs="Times New Roman"/>
          <w:color w:val="000000" w:themeColor="text1"/>
          <w14:textFill>
            <w14:solidFill>
              <w14:schemeClr w14:val="tx1"/>
            </w14:solidFill>
          </w14:textFill>
        </w:rPr>
        <w:t>》（国办发〔2024〕33号）完善政府绿色采购政策有关部署，标准编制组经深入调查研究，认真总结实践经验，参考有关标准，在广泛征求意见的基础上，编制形成了《绿色建筑和绿色建材政府采购需求标准（2025年版）》（以下简称《需求标准》）。</w:t>
      </w:r>
    </w:p>
    <w:p w14:paraId="347012D3">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《需求标准》的主要内容是：1.总则；2.基本规定；3.建筑品质提升要求；4.必选类绿色建材要求；5.可选类绿色建材要求。</w:t>
      </w:r>
    </w:p>
    <w:p w14:paraId="48D2ABED">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与上一版《绿色建筑和绿色建材政府采购需求标准（2022年版）》相比，此次修订的主要内容是：1.增加关于建筑品质提升的要求，突出政府采购绿色建材对提升建筑品质、建设好房子的支撑作用；2.绿色建材的选用规则调整为“必选类和可选类”，方便各地因地制宜进行采购；3.增加了砌体材料、磷石膏制品和竹制品等33种绿色建材产品，提升绿色建材的供给水平；4.</w:t>
      </w:r>
      <w:r>
        <w:rPr>
          <w:rFonts w:cs="Times New Roman" w:eastAsiaTheme="minorEastAsia"/>
          <w:color w:val="000000" w:themeColor="text1"/>
          <w:szCs w:val="28"/>
          <w14:textFill>
            <w14:solidFill>
              <w14:schemeClr w14:val="tx1"/>
            </w14:solidFill>
          </w14:textFill>
        </w:rPr>
        <w:t>鼓励绿色建材生产企业开展产品碳足迹自评价或第三方评价工作</w:t>
      </w:r>
      <w:r>
        <w:rPr>
          <w:rFonts w:cs="Times New Roman"/>
          <w:color w:val="000000" w:themeColor="text1"/>
          <w14:textFill>
            <w14:solidFill>
              <w14:schemeClr w14:val="tx1"/>
            </w14:solidFill>
          </w14:textFill>
        </w:rPr>
        <w:t>，发挥绿色建材在推动碳达峰碳中和的重要作用。</w:t>
      </w:r>
    </w:p>
    <w:p w14:paraId="176CBD63">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需求标准》由财政部国库司、住房城乡建设部标准定额司、工业和信息化部原材料工业司负责管理，由中国建筑标准设计研究院、住房城乡建设部科技与产业化发展中心、中国建筑材料工业规划研究院负责具体技术内容的解释。</w:t>
      </w:r>
    </w:p>
    <w:p w14:paraId="418C0CB6">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 xml:space="preserve">编写指导：李先忠  姚天玮  杜  强  白正盛  夏  玲  </w:t>
      </w:r>
    </w:p>
    <w:p w14:paraId="2BF7D597">
      <w:pPr>
        <w:spacing w:line="588" w:lineRule="exact"/>
        <w:ind w:firstLine="1960" w:firstLineChars="7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张立帅  杨国强  高  萍</w:t>
      </w:r>
    </w:p>
    <w:p w14:paraId="511BCBC4">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 xml:space="preserve">编写人员：高  鹏  陈  伟  徐  韬  王广明  路瑞娟  </w:t>
      </w:r>
    </w:p>
    <w:p w14:paraId="69CF5E36">
      <w:pPr>
        <w:spacing w:line="588" w:lineRule="exact"/>
        <w:ind w:firstLine="1960" w:firstLineChars="7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 xml:space="preserve">张澜沁  刘珊珊  南  锟  马晨光  刘莉馨  </w:t>
      </w:r>
    </w:p>
    <w:p w14:paraId="5B7D8765">
      <w:pPr>
        <w:spacing w:line="588" w:lineRule="exact"/>
        <w:ind w:firstLine="1960" w:firstLineChars="700"/>
        <w:rPr>
          <w:rFonts w:cs="Times New Roman"/>
          <w:color w:val="000000" w:themeColor="text1"/>
          <w14:textFill>
            <w14:solidFill>
              <w14:schemeClr w14:val="tx1"/>
            </w14:solidFill>
          </w14:textFill>
        </w:rPr>
        <w:sectPr>
          <w:headerReference r:id="rId13" w:type="first"/>
          <w:headerReference r:id="rId11" w:type="default"/>
          <w:footerReference r:id="rId14" w:type="default"/>
          <w:headerReference r:id="rId12" w:type="even"/>
          <w:pgSz w:w="11906" w:h="16838"/>
          <w:pgMar w:top="1701" w:right="1871" w:bottom="1701" w:left="1871" w:header="851" w:footer="992" w:gutter="0"/>
          <w:pgNumType w:start="1"/>
          <w:cols w:space="425" w:num="1"/>
          <w:docGrid w:type="lines" w:linePitch="312" w:charSpace="0"/>
        </w:sectPr>
      </w:pPr>
      <w:r>
        <w:rPr>
          <w:rFonts w:cs="Times New Roman"/>
          <w:color w:val="000000" w:themeColor="text1"/>
          <w14:textFill>
            <w14:solidFill>
              <w14:schemeClr w14:val="tx1"/>
            </w14:solidFill>
          </w14:textFill>
        </w:rPr>
        <w:t>章  超  牛凯征  刘  洋</w:t>
      </w:r>
    </w:p>
    <w:p w14:paraId="3F65594A">
      <w:pPr>
        <w:widowControl/>
        <w:spacing w:line="240" w:lineRule="auto"/>
        <w:ind w:firstLine="0" w:firstLineChars="0"/>
        <w:jc w:val="center"/>
        <w:rPr>
          <w:rFonts w:eastAsia="黑体" w:cs="Times New Roman"/>
          <w:color w:val="000000" w:themeColor="text1"/>
          <w:szCs w:val="28"/>
          <w14:textFill>
            <w14:solidFill>
              <w14:schemeClr w14:val="tx1"/>
            </w14:solidFill>
          </w14:textFill>
        </w:rPr>
      </w:pPr>
      <w:r>
        <w:rPr>
          <w:rFonts w:eastAsia="黑体" w:cs="Times New Roman"/>
          <w:color w:val="000000" w:themeColor="text1"/>
          <w:szCs w:val="28"/>
          <w14:textFill>
            <w14:solidFill>
              <w14:schemeClr w14:val="tx1"/>
            </w14:solidFill>
          </w14:textFill>
        </w:rPr>
        <w:t>目    录</w:t>
      </w:r>
    </w:p>
    <w:p w14:paraId="421DF659">
      <w:pPr>
        <w:pStyle w:val="16"/>
        <w:tabs>
          <w:tab w:val="right" w:leader="dot" w:pos="8154"/>
        </w:tabs>
        <w:spacing w:line="588" w:lineRule="atLeast"/>
        <w:ind w:firstLine="560"/>
        <w:rPr>
          <w:rFonts w:cs="Times New Roman" w:eastAsiaTheme="minorEastAsia"/>
          <w:sz w:val="21"/>
        </w:rPr>
      </w:pPr>
      <w:r>
        <w:rPr>
          <w:rFonts w:cs="Times New Roman" w:eastAsiaTheme="minorEastAsia"/>
          <w:color w:val="000000" w:themeColor="text1"/>
          <w:szCs w:val="28"/>
          <w14:textFill>
            <w14:solidFill>
              <w14:schemeClr w14:val="tx1"/>
            </w14:solidFill>
          </w14:textFill>
        </w:rPr>
        <w:fldChar w:fldCharType="begin"/>
      </w:r>
      <w:r>
        <w:rPr>
          <w:rFonts w:cs="Times New Roman" w:eastAsiaTheme="minorEastAsia"/>
          <w:color w:val="000000" w:themeColor="text1"/>
          <w:szCs w:val="28"/>
          <w14:textFill>
            <w14:solidFill>
              <w14:schemeClr w14:val="tx1"/>
            </w14:solidFill>
          </w14:textFill>
        </w:rPr>
        <w:instrText xml:space="preserve"> TOC \o "1-3" \h \z \u </w:instrText>
      </w:r>
      <w:r>
        <w:rPr>
          <w:rFonts w:cs="Times New Roman" w:eastAsiaTheme="minorEastAsia"/>
          <w:color w:val="000000" w:themeColor="text1"/>
          <w:szCs w:val="28"/>
          <w14:textFill>
            <w14:solidFill>
              <w14:schemeClr w14:val="tx1"/>
            </w14:solidFill>
          </w14:textFill>
        </w:rPr>
        <w:fldChar w:fldCharType="separate"/>
      </w:r>
      <w:r>
        <w:fldChar w:fldCharType="begin"/>
      </w:r>
      <w:r>
        <w:instrText xml:space="preserve"> HYPERLINK \l "_Toc186533225" </w:instrText>
      </w:r>
      <w:r>
        <w:fldChar w:fldCharType="separate"/>
      </w:r>
      <w:r>
        <w:rPr>
          <w:rStyle w:val="24"/>
          <w:rFonts w:cs="Times New Roman"/>
        </w:rPr>
        <w:t>1  总  则</w:t>
      </w:r>
      <w:r>
        <w:rPr>
          <w:rFonts w:cs="Times New Roman"/>
        </w:rPr>
        <w:tab/>
      </w:r>
      <w:r>
        <w:rPr>
          <w:rFonts w:cs="Times New Roman"/>
        </w:rPr>
        <w:fldChar w:fldCharType="begin"/>
      </w:r>
      <w:r>
        <w:rPr>
          <w:rFonts w:cs="Times New Roman"/>
        </w:rPr>
        <w:instrText xml:space="preserve"> PAGEREF _Toc186533225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14:paraId="21F1AE19">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"_Toc186533226" </w:instrText>
      </w:r>
      <w:r>
        <w:fldChar w:fldCharType="separate"/>
      </w:r>
      <w:r>
        <w:rPr>
          <w:rStyle w:val="24"/>
          <w:rFonts w:cs="Times New Roman"/>
        </w:rPr>
        <w:t>2  基本规定</w:t>
      </w:r>
      <w:r>
        <w:rPr>
          <w:rFonts w:cs="Times New Roman"/>
        </w:rPr>
        <w:tab/>
      </w:r>
      <w:r>
        <w:rPr>
          <w:rFonts w:cs="Times New Roman"/>
        </w:rPr>
        <w:fldChar w:fldCharType="begin"/>
      </w:r>
      <w:r>
        <w:rPr>
          <w:rFonts w:cs="Times New Roman"/>
        </w:rPr>
        <w:instrText xml:space="preserve"> PAGEREF _Toc186533226 \h </w:instrText>
      </w:r>
      <w:r>
        <w:rPr>
          <w:rFonts w:cs="Times New Roman"/>
        </w:rPr>
        <w:fldChar w:fldCharType="separate"/>
      </w:r>
      <w:r>
        <w:rPr>
          <w:rFonts w:cs="Times New Roman"/>
        </w:rPr>
        <w:t>1</w:t>
      </w:r>
      <w:r>
        <w:rPr>
          <w:rFonts w:cs="Times New Roman"/>
        </w:rPr>
        <w:fldChar w:fldCharType="end"/>
      </w:r>
      <w:r>
        <w:rPr>
          <w:rFonts w:cs="Times New Roman"/>
        </w:rPr>
        <w:fldChar w:fldCharType="end"/>
      </w:r>
    </w:p>
    <w:p w14:paraId="076B9B0C">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"_Toc186533227" </w:instrText>
      </w:r>
      <w:r>
        <w:fldChar w:fldCharType="separate"/>
      </w:r>
      <w:r>
        <w:rPr>
          <w:rStyle w:val="24"/>
          <w:rFonts w:cs="Times New Roman"/>
        </w:rPr>
        <w:t>3  建筑品质提升要求</w:t>
      </w:r>
      <w:r>
        <w:rPr>
          <w:rFonts w:cs="Times New Roman"/>
        </w:rPr>
        <w:tab/>
      </w:r>
      <w:r>
        <w:rPr>
          <w:rFonts w:cs="Times New Roman"/>
        </w:rPr>
        <w:fldChar w:fldCharType="begin"/>
      </w:r>
      <w:r>
        <w:rPr>
          <w:rFonts w:cs="Times New Roman"/>
        </w:rPr>
        <w:instrText xml:space="preserve"> PAGEREF _Toc186533227 \h </w:instrText>
      </w:r>
      <w:r>
        <w:rPr>
          <w:rFonts w:cs="Times New Roman"/>
        </w:rPr>
        <w:fldChar w:fldCharType="separate"/>
      </w:r>
      <w:r>
        <w:rPr>
          <w:rFonts w:cs="Times New Roman"/>
        </w:rPr>
        <w:t>4</w:t>
      </w:r>
      <w:r>
        <w:rPr>
          <w:rFonts w:cs="Times New Roman"/>
        </w:rPr>
        <w:fldChar w:fldCharType="end"/>
      </w:r>
      <w:r>
        <w:rPr>
          <w:rFonts w:cs="Times New Roman"/>
        </w:rPr>
        <w:fldChar w:fldCharType="end"/>
      </w:r>
    </w:p>
    <w:p w14:paraId="1E2E90E4">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"_Toc186533228" </w:instrText>
      </w:r>
      <w:r>
        <w:fldChar w:fldCharType="separate"/>
      </w:r>
      <w:r>
        <w:rPr>
          <w:rStyle w:val="24"/>
          <w:rFonts w:cs="Times New Roman"/>
          <w:sz w:val="24"/>
          <w:szCs w:val="24"/>
        </w:rPr>
        <w:t>3.1  一般要求</w:t>
      </w:r>
      <w:r>
        <w:rPr>
          <w:rFonts w:cs="Times New Roman"/>
        </w:rPr>
        <w:tab/>
      </w:r>
      <w:r>
        <w:rPr>
          <w:rFonts w:cs="Times New Roman"/>
        </w:rPr>
        <w:fldChar w:fldCharType="begin"/>
      </w:r>
      <w:r>
        <w:rPr>
          <w:rFonts w:cs="Times New Roman"/>
        </w:rPr>
        <w:instrText xml:space="preserve"> PAGEREF _Toc186533228 \h </w:instrText>
      </w:r>
      <w:r>
        <w:rPr>
          <w:rFonts w:cs="Times New Roman"/>
        </w:rPr>
        <w:fldChar w:fldCharType="separate"/>
      </w:r>
      <w:r>
        <w:rPr>
          <w:rFonts w:cs="Times New Roman"/>
        </w:rPr>
        <w:t>4</w:t>
      </w:r>
      <w:r>
        <w:rPr>
          <w:rFonts w:cs="Times New Roman"/>
        </w:rPr>
        <w:fldChar w:fldCharType="end"/>
      </w:r>
      <w:r>
        <w:rPr>
          <w:rFonts w:cs="Times New Roman"/>
        </w:rPr>
        <w:fldChar w:fldCharType="end"/>
      </w:r>
    </w:p>
    <w:p w14:paraId="6E47FB9A">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"_Toc186533229" </w:instrText>
      </w:r>
      <w:r>
        <w:fldChar w:fldCharType="separate"/>
      </w:r>
      <w:r>
        <w:rPr>
          <w:rStyle w:val="24"/>
          <w:rFonts w:cs="Times New Roman"/>
          <w:sz w:val="24"/>
        </w:rPr>
        <w:t>3.2  部品部件要求</w:t>
      </w:r>
      <w:r>
        <w:rPr>
          <w:rFonts w:cs="Times New Roman"/>
        </w:rPr>
        <w:tab/>
      </w:r>
      <w:r>
        <w:rPr>
          <w:rFonts w:cs="Times New Roman"/>
        </w:rPr>
        <w:fldChar w:fldCharType="begin"/>
      </w:r>
      <w:r>
        <w:rPr>
          <w:rFonts w:cs="Times New Roman"/>
        </w:rPr>
        <w:instrText xml:space="preserve"> PAGEREF _Toc186533229 \h </w:instrText>
      </w:r>
      <w:r>
        <w:rPr>
          <w:rFonts w:cs="Times New Roman"/>
        </w:rPr>
        <w:fldChar w:fldCharType="separate"/>
      </w:r>
      <w:r>
        <w:rPr>
          <w:rFonts w:cs="Times New Roman"/>
        </w:rPr>
        <w:t>7</w:t>
      </w:r>
      <w:r>
        <w:rPr>
          <w:rFonts w:cs="Times New Roman"/>
        </w:rPr>
        <w:fldChar w:fldCharType="end"/>
      </w:r>
      <w:r>
        <w:rPr>
          <w:rFonts w:cs="Times New Roman"/>
        </w:rPr>
        <w:fldChar w:fldCharType="end"/>
      </w:r>
    </w:p>
    <w:p w14:paraId="1E2DEC75">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"_Toc186533230" </w:instrText>
      </w:r>
      <w:r>
        <w:fldChar w:fldCharType="separate"/>
      </w:r>
      <w:r>
        <w:rPr>
          <w:rStyle w:val="24"/>
          <w:rFonts w:cs="Times New Roman"/>
          <w:sz w:val="24"/>
        </w:rPr>
        <w:t>3.3  碳减排要求</w:t>
      </w:r>
      <w:r>
        <w:rPr>
          <w:rFonts w:cs="Times New Roman"/>
        </w:rPr>
        <w:tab/>
      </w:r>
      <w:r>
        <w:rPr>
          <w:rFonts w:cs="Times New Roman"/>
        </w:rPr>
        <w:fldChar w:fldCharType="begin"/>
      </w:r>
      <w:r>
        <w:rPr>
          <w:rFonts w:cs="Times New Roman"/>
        </w:rPr>
        <w:instrText xml:space="preserve"> PAGEREF _Toc186533230 \h </w:instrText>
      </w:r>
      <w:r>
        <w:rPr>
          <w:rFonts w:cs="Times New Roman"/>
        </w:rPr>
        <w:fldChar w:fldCharType="separate"/>
      </w:r>
      <w:r>
        <w:rPr>
          <w:rFonts w:cs="Times New Roman"/>
        </w:rPr>
        <w:t>7</w:t>
      </w:r>
      <w:r>
        <w:rPr>
          <w:rFonts w:cs="Times New Roman"/>
        </w:rPr>
        <w:fldChar w:fldCharType="end"/>
      </w:r>
      <w:r>
        <w:rPr>
          <w:rFonts w:cs="Times New Roman"/>
        </w:rPr>
        <w:fldChar w:fldCharType="end"/>
      </w:r>
    </w:p>
    <w:p w14:paraId="39704F34">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"_Toc186533231" </w:instrText>
      </w:r>
      <w:r>
        <w:fldChar w:fldCharType="separate"/>
      </w:r>
      <w:r>
        <w:rPr>
          <w:rStyle w:val="24"/>
          <w:rFonts w:cs="Times New Roman"/>
        </w:rPr>
        <w:t>4  必选类绿色建材要求</w:t>
      </w:r>
      <w:r>
        <w:rPr>
          <w:rFonts w:cs="Times New Roman"/>
        </w:rPr>
        <w:tab/>
      </w:r>
      <w:r>
        <w:rPr>
          <w:rFonts w:cs="Times New Roman"/>
        </w:rPr>
        <w:fldChar w:fldCharType="begin"/>
      </w:r>
      <w:r>
        <w:rPr>
          <w:rFonts w:cs="Times New Roman"/>
        </w:rPr>
        <w:instrText xml:space="preserve"> PAGEREF _Toc186533231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14:paraId="136BF926">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"_Toc186533232" </w:instrText>
      </w:r>
      <w:r>
        <w:fldChar w:fldCharType="separate"/>
      </w:r>
      <w:r>
        <w:rPr>
          <w:rStyle w:val="24"/>
          <w:rFonts w:cs="Times New Roman"/>
          <w:sz w:val="24"/>
        </w:rPr>
        <w:t>4.1  主体和地基基础材料</w:t>
      </w:r>
      <w:r>
        <w:rPr>
          <w:rFonts w:cs="Times New Roman"/>
        </w:rPr>
        <w:tab/>
      </w:r>
      <w:r>
        <w:rPr>
          <w:rFonts w:cs="Times New Roman"/>
        </w:rPr>
        <w:fldChar w:fldCharType="begin"/>
      </w:r>
      <w:r>
        <w:rPr>
          <w:rFonts w:cs="Times New Roman"/>
        </w:rPr>
        <w:instrText xml:space="preserve"> PAGEREF _Toc186533232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14:paraId="7BD1D81B">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"_Toc186533233" </w:instrText>
      </w:r>
      <w:r>
        <w:fldChar w:fldCharType="separate"/>
      </w:r>
      <w:r>
        <w:rPr>
          <w:rStyle w:val="24"/>
          <w:rFonts w:cs="Times New Roman"/>
          <w:sz w:val="24"/>
        </w:rPr>
        <w:t>4.1.1  钢结构构件</w:t>
      </w:r>
      <w:r>
        <w:rPr>
          <w:rFonts w:cs="Times New Roman"/>
        </w:rPr>
        <w:tab/>
      </w:r>
      <w:r>
        <w:rPr>
          <w:rFonts w:cs="Times New Roman"/>
        </w:rPr>
        <w:fldChar w:fldCharType="begin"/>
      </w:r>
      <w:r>
        <w:rPr>
          <w:rFonts w:cs="Times New Roman"/>
        </w:rPr>
        <w:instrText xml:space="preserve"> PAGEREF _Toc186533233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14:paraId="0E986C0D">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"_Toc186533234" </w:instrText>
      </w:r>
      <w:r>
        <w:fldChar w:fldCharType="separate"/>
      </w:r>
      <w:r>
        <w:rPr>
          <w:rStyle w:val="24"/>
          <w:rFonts w:cs="Times New Roman"/>
          <w:sz w:val="24"/>
        </w:rPr>
        <w:t>4.1.2  混凝土结构构件</w:t>
      </w:r>
      <w:r>
        <w:rPr>
          <w:rFonts w:cs="Times New Roman"/>
        </w:rPr>
        <w:tab/>
      </w:r>
      <w:r>
        <w:rPr>
          <w:rFonts w:cs="Times New Roman"/>
        </w:rPr>
        <w:fldChar w:fldCharType="begin"/>
      </w:r>
      <w:r>
        <w:rPr>
          <w:rFonts w:cs="Times New Roman"/>
        </w:rPr>
        <w:instrText xml:space="preserve"> PAGEREF _Toc186533234 \h </w:instrText>
      </w:r>
      <w:r>
        <w:rPr>
          <w:rFonts w:cs="Times New Roman"/>
        </w:rPr>
        <w:fldChar w:fldCharType="separate"/>
      </w:r>
      <w:r>
        <w:rPr>
          <w:rFonts w:cs="Times New Roman"/>
        </w:rPr>
        <w:t>8</w:t>
      </w:r>
      <w:r>
        <w:rPr>
          <w:rFonts w:cs="Times New Roman"/>
        </w:rPr>
        <w:fldChar w:fldCharType="end"/>
      </w:r>
      <w:r>
        <w:rPr>
          <w:rFonts w:cs="Times New Roman"/>
        </w:rPr>
        <w:fldChar w:fldCharType="end"/>
      </w:r>
    </w:p>
    <w:p w14:paraId="5AAC559B">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"_Toc186533235" </w:instrText>
      </w:r>
      <w:r>
        <w:fldChar w:fldCharType="separate"/>
      </w:r>
      <w:r>
        <w:rPr>
          <w:rStyle w:val="24"/>
          <w:rFonts w:cs="Times New Roman"/>
          <w:sz w:val="24"/>
        </w:rPr>
        <w:t>4.1.3  预拌混凝土</w:t>
      </w:r>
      <w:r>
        <w:rPr>
          <w:rFonts w:cs="Times New Roman"/>
        </w:rPr>
        <w:tab/>
      </w:r>
      <w:r>
        <w:rPr>
          <w:rFonts w:cs="Times New Roman"/>
        </w:rPr>
        <w:fldChar w:fldCharType="begin"/>
      </w:r>
      <w:r>
        <w:rPr>
          <w:rFonts w:cs="Times New Roman"/>
        </w:rPr>
        <w:instrText xml:space="preserve"> PAGEREF _Toc186533235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14:paraId="435EE323">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"_Toc186533236" </w:instrText>
      </w:r>
      <w:r>
        <w:fldChar w:fldCharType="separate"/>
      </w:r>
      <w:r>
        <w:rPr>
          <w:rStyle w:val="24"/>
          <w:rFonts w:cs="Times New Roman"/>
          <w:sz w:val="24"/>
        </w:rPr>
        <w:t>4.1.4  预拌砂浆</w:t>
      </w:r>
      <w:r>
        <w:rPr>
          <w:rFonts w:cs="Times New Roman"/>
        </w:rPr>
        <w:tab/>
      </w:r>
      <w:r>
        <w:rPr>
          <w:rFonts w:cs="Times New Roman"/>
        </w:rPr>
        <w:fldChar w:fldCharType="begin"/>
      </w:r>
      <w:r>
        <w:rPr>
          <w:rFonts w:cs="Times New Roman"/>
        </w:rPr>
        <w:instrText xml:space="preserve"> PAGEREF _Toc186533236 \h </w:instrText>
      </w:r>
      <w:r>
        <w:rPr>
          <w:rFonts w:cs="Times New Roman"/>
        </w:rPr>
        <w:fldChar w:fldCharType="separate"/>
      </w:r>
      <w:r>
        <w:rPr>
          <w:rFonts w:cs="Times New Roman"/>
        </w:rPr>
        <w:t>9</w:t>
      </w:r>
      <w:r>
        <w:rPr>
          <w:rFonts w:cs="Times New Roman"/>
        </w:rPr>
        <w:fldChar w:fldCharType="end"/>
      </w:r>
      <w:r>
        <w:rPr>
          <w:rFonts w:cs="Times New Roman"/>
        </w:rPr>
        <w:fldChar w:fldCharType="end"/>
      </w:r>
    </w:p>
    <w:p w14:paraId="28945741">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"_Toc186533237" </w:instrText>
      </w:r>
      <w:r>
        <w:fldChar w:fldCharType="separate"/>
      </w:r>
      <w:r>
        <w:rPr>
          <w:rStyle w:val="24"/>
          <w:rFonts w:cs="Times New Roman"/>
          <w:sz w:val="24"/>
        </w:rPr>
        <w:t>4.1.5  钢筋</w:t>
      </w:r>
      <w:r>
        <w:rPr>
          <w:rFonts w:cs="Times New Roman"/>
        </w:rPr>
        <w:tab/>
      </w:r>
      <w:r>
        <w:rPr>
          <w:rFonts w:cs="Times New Roman"/>
        </w:rPr>
        <w:fldChar w:fldCharType="begin"/>
      </w:r>
      <w:r>
        <w:rPr>
          <w:rFonts w:cs="Times New Roman"/>
        </w:rPr>
        <w:instrText xml:space="preserve"> PAGEREF _Toc186533237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14:paraId="33B9D9D0">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"_Toc186533238" </w:instrText>
      </w:r>
      <w:r>
        <w:fldChar w:fldCharType="separate"/>
      </w:r>
      <w:r>
        <w:rPr>
          <w:rStyle w:val="24"/>
          <w:rFonts w:cs="Times New Roman"/>
          <w:sz w:val="24"/>
        </w:rPr>
        <w:t>4.2  围护结构材料</w:t>
      </w:r>
      <w:r>
        <w:rPr>
          <w:rFonts w:cs="Times New Roman"/>
        </w:rPr>
        <w:tab/>
      </w:r>
      <w:r>
        <w:rPr>
          <w:rFonts w:cs="Times New Roman"/>
        </w:rPr>
        <w:fldChar w:fldCharType="begin"/>
      </w:r>
      <w:r>
        <w:rPr>
          <w:rFonts w:cs="Times New Roman"/>
        </w:rPr>
        <w:instrText xml:space="preserve"> PAGEREF _Toc186533238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14:paraId="7A331A46">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"_Toc186533239" </w:instrText>
      </w:r>
      <w:r>
        <w:fldChar w:fldCharType="separate"/>
      </w:r>
      <w:r>
        <w:rPr>
          <w:rStyle w:val="24"/>
          <w:rFonts w:cs="Times New Roman"/>
          <w:sz w:val="24"/>
        </w:rPr>
        <w:t>4.2.1  门窗</w:t>
      </w:r>
      <w:r>
        <w:rPr>
          <w:rFonts w:cs="Times New Roman"/>
        </w:rPr>
        <w:tab/>
      </w:r>
      <w:r>
        <w:rPr>
          <w:rFonts w:cs="Times New Roman"/>
        </w:rPr>
        <w:fldChar w:fldCharType="begin"/>
      </w:r>
      <w:r>
        <w:rPr>
          <w:rFonts w:cs="Times New Roman"/>
        </w:rPr>
        <w:instrText xml:space="preserve"> PAGEREF _Toc186533239 \h </w:instrText>
      </w:r>
      <w:r>
        <w:rPr>
          <w:rFonts w:cs="Times New Roman"/>
        </w:rPr>
        <w:fldChar w:fldCharType="separate"/>
      </w:r>
      <w:r>
        <w:rPr>
          <w:rFonts w:cs="Times New Roman"/>
        </w:rPr>
        <w:t>11</w:t>
      </w:r>
      <w:r>
        <w:rPr>
          <w:rFonts w:cs="Times New Roman"/>
        </w:rPr>
        <w:fldChar w:fldCharType="end"/>
      </w:r>
      <w:r>
        <w:rPr>
          <w:rFonts w:cs="Times New Roman"/>
        </w:rPr>
        <w:fldChar w:fldCharType="end"/>
      </w:r>
    </w:p>
    <w:p w14:paraId="314C1F4F">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"_Toc186533240" </w:instrText>
      </w:r>
      <w:r>
        <w:fldChar w:fldCharType="separate"/>
      </w:r>
      <w:r>
        <w:rPr>
          <w:rStyle w:val="24"/>
          <w:rFonts w:cs="Times New Roman"/>
          <w:sz w:val="24"/>
        </w:rPr>
        <w:t>4.2.2  保温隔热材料</w:t>
      </w:r>
      <w:r>
        <w:rPr>
          <w:rFonts w:cs="Times New Roman"/>
        </w:rPr>
        <w:tab/>
      </w:r>
      <w:r>
        <w:rPr>
          <w:rFonts w:cs="Times New Roman"/>
        </w:rPr>
        <w:fldChar w:fldCharType="begin"/>
      </w:r>
      <w:r>
        <w:rPr>
          <w:rFonts w:cs="Times New Roman"/>
        </w:rPr>
        <w:instrText xml:space="preserve"> PAGEREF _Toc186533240 \h </w:instrText>
      </w:r>
      <w:r>
        <w:rPr>
          <w:rFonts w:cs="Times New Roman"/>
        </w:rPr>
        <w:fldChar w:fldCharType="separate"/>
      </w:r>
      <w:r>
        <w:rPr>
          <w:rFonts w:cs="Times New Roman"/>
        </w:rPr>
        <w:t>12</w:t>
      </w:r>
      <w:r>
        <w:rPr>
          <w:rFonts w:cs="Times New Roman"/>
        </w:rPr>
        <w:fldChar w:fldCharType="end"/>
      </w:r>
      <w:r>
        <w:rPr>
          <w:rFonts w:cs="Times New Roman"/>
        </w:rPr>
        <w:fldChar w:fldCharType="end"/>
      </w:r>
    </w:p>
    <w:p w14:paraId="528B599E">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"_Toc186533241" </w:instrText>
      </w:r>
      <w:r>
        <w:fldChar w:fldCharType="separate"/>
      </w:r>
      <w:r>
        <w:rPr>
          <w:rStyle w:val="24"/>
          <w:rFonts w:cs="Times New Roman"/>
          <w:sz w:val="24"/>
        </w:rPr>
        <w:t>4.3  建筑装饰装修材料</w:t>
      </w:r>
      <w:r>
        <w:rPr>
          <w:rFonts w:cs="Times New Roman"/>
        </w:rPr>
        <w:tab/>
      </w:r>
      <w:r>
        <w:rPr>
          <w:rFonts w:cs="Times New Roman"/>
        </w:rPr>
        <w:fldChar w:fldCharType="begin"/>
      </w:r>
      <w:r>
        <w:rPr>
          <w:rFonts w:cs="Times New Roman"/>
        </w:rPr>
        <w:instrText xml:space="preserve"> PAGEREF _Toc186533241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14:paraId="24A3D3C8">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"_Toc186533242" </w:instrText>
      </w:r>
      <w:r>
        <w:fldChar w:fldCharType="separate"/>
      </w:r>
      <w:r>
        <w:rPr>
          <w:rStyle w:val="24"/>
          <w:rFonts w:cs="Times New Roman"/>
          <w:sz w:val="24"/>
        </w:rPr>
        <w:t>Ⅰ  隔墙隔断材料</w:t>
      </w:r>
      <w:r>
        <w:rPr>
          <w:rFonts w:cs="Times New Roman"/>
        </w:rPr>
        <w:tab/>
      </w:r>
      <w:r>
        <w:rPr>
          <w:rFonts w:cs="Times New Roman"/>
        </w:rPr>
        <w:fldChar w:fldCharType="begin"/>
      </w:r>
      <w:r>
        <w:rPr>
          <w:rFonts w:cs="Times New Roman"/>
        </w:rPr>
        <w:instrText xml:space="preserve"> PAGEREF _Toc186533242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14:paraId="6D526CA2">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"_Toc186533243" </w:instrText>
      </w:r>
      <w:r>
        <w:fldChar w:fldCharType="separate"/>
      </w:r>
      <w:r>
        <w:rPr>
          <w:rStyle w:val="24"/>
          <w:rFonts w:cs="Times New Roman"/>
          <w:sz w:val="24"/>
        </w:rPr>
        <w:t>4.3.1  隔墙材料</w:t>
      </w:r>
      <w:r>
        <w:rPr>
          <w:rFonts w:cs="Times New Roman"/>
        </w:rPr>
        <w:tab/>
      </w:r>
      <w:r>
        <w:rPr>
          <w:rFonts w:cs="Times New Roman"/>
        </w:rPr>
        <w:fldChar w:fldCharType="begin"/>
      </w:r>
      <w:r>
        <w:rPr>
          <w:rFonts w:cs="Times New Roman"/>
        </w:rPr>
        <w:instrText xml:space="preserve"> PAGEREF _Toc186533243 \h </w:instrText>
      </w:r>
      <w:r>
        <w:rPr>
          <w:rFonts w:cs="Times New Roman"/>
        </w:rPr>
        <w:fldChar w:fldCharType="separate"/>
      </w:r>
      <w:r>
        <w:rPr>
          <w:rFonts w:cs="Times New Roman"/>
        </w:rPr>
        <w:t>14</w:t>
      </w:r>
      <w:r>
        <w:rPr>
          <w:rFonts w:cs="Times New Roman"/>
        </w:rPr>
        <w:fldChar w:fldCharType="end"/>
      </w:r>
      <w:r>
        <w:rPr>
          <w:rFonts w:cs="Times New Roman"/>
        </w:rPr>
        <w:fldChar w:fldCharType="end"/>
      </w:r>
    </w:p>
    <w:p w14:paraId="176A177D">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"_Toc186533244" </w:instrText>
      </w:r>
      <w:r>
        <w:fldChar w:fldCharType="separate"/>
      </w:r>
      <w:r>
        <w:rPr>
          <w:rStyle w:val="24"/>
          <w:rFonts w:cs="Times New Roman"/>
          <w:sz w:val="24"/>
        </w:rPr>
        <w:t>Ⅱ  墙面材料</w:t>
      </w:r>
      <w:r>
        <w:rPr>
          <w:rFonts w:cs="Times New Roman"/>
        </w:rPr>
        <w:tab/>
      </w:r>
      <w:r>
        <w:rPr>
          <w:rFonts w:cs="Times New Roman"/>
        </w:rPr>
        <w:fldChar w:fldCharType="begin"/>
      </w:r>
      <w:r>
        <w:rPr>
          <w:rFonts w:cs="Times New Roman"/>
        </w:rPr>
        <w:instrText xml:space="preserve"> PAGEREF _Toc186533244 \h </w:instrText>
      </w:r>
      <w:r>
        <w:rPr>
          <w:rFonts w:cs="Times New Roman"/>
        </w:rPr>
        <w:fldChar w:fldCharType="separate"/>
      </w:r>
      <w:r>
        <w:rPr>
          <w:rFonts w:cs="Times New Roman"/>
        </w:rPr>
        <w:t>15</w:t>
      </w:r>
      <w:r>
        <w:rPr>
          <w:rFonts w:cs="Times New Roman"/>
        </w:rPr>
        <w:fldChar w:fldCharType="end"/>
      </w:r>
      <w:r>
        <w:rPr>
          <w:rFonts w:cs="Times New Roman"/>
        </w:rPr>
        <w:fldChar w:fldCharType="end"/>
      </w:r>
    </w:p>
    <w:p w14:paraId="21D93A9C">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"_Toc186533245" </w:instrText>
      </w:r>
      <w:r>
        <w:fldChar w:fldCharType="separate"/>
      </w:r>
      <w:r>
        <w:rPr>
          <w:rStyle w:val="24"/>
          <w:rFonts w:cs="Times New Roman"/>
          <w:sz w:val="24"/>
        </w:rPr>
        <w:t>4.3.2  涂料</w:t>
      </w:r>
      <w:r>
        <w:rPr>
          <w:rFonts w:cs="Times New Roman"/>
        </w:rPr>
        <w:tab/>
      </w:r>
      <w:r>
        <w:rPr>
          <w:rFonts w:cs="Times New Roman"/>
        </w:rPr>
        <w:fldChar w:fldCharType="begin"/>
      </w:r>
      <w:r>
        <w:rPr>
          <w:rFonts w:cs="Times New Roman"/>
        </w:rPr>
        <w:instrText xml:space="preserve"> PAGEREF _Toc186533245 \h </w:instrText>
      </w:r>
      <w:r>
        <w:rPr>
          <w:rFonts w:cs="Times New Roman"/>
        </w:rPr>
        <w:fldChar w:fldCharType="separate"/>
      </w:r>
      <w:r>
        <w:rPr>
          <w:rFonts w:cs="Times New Roman"/>
        </w:rPr>
        <w:t>15</w:t>
      </w:r>
      <w:r>
        <w:rPr>
          <w:rFonts w:cs="Times New Roman"/>
        </w:rPr>
        <w:fldChar w:fldCharType="end"/>
      </w:r>
      <w:r>
        <w:rPr>
          <w:rFonts w:cs="Times New Roman"/>
        </w:rPr>
        <w:fldChar w:fldCharType="end"/>
      </w:r>
    </w:p>
    <w:p w14:paraId="52676008">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"_Toc186533246" </w:instrText>
      </w:r>
      <w:r>
        <w:fldChar w:fldCharType="separate"/>
      </w:r>
      <w:r>
        <w:rPr>
          <w:rStyle w:val="24"/>
          <w:rFonts w:cs="Times New Roman"/>
        </w:rPr>
        <w:t>5  可选类绿色建材要求</w:t>
      </w:r>
      <w:r>
        <w:rPr>
          <w:rFonts w:cs="Times New Roman"/>
        </w:rPr>
        <w:tab/>
      </w:r>
      <w:r>
        <w:rPr>
          <w:rFonts w:cs="Times New Roman"/>
        </w:rPr>
        <w:fldChar w:fldCharType="begin"/>
      </w:r>
      <w:r>
        <w:rPr>
          <w:rFonts w:cs="Times New Roman"/>
        </w:rPr>
        <w:instrText xml:space="preserve"> PAGEREF _Toc186533246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14:paraId="5BE11D24">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"_Toc186533247" </w:instrText>
      </w:r>
      <w:r>
        <w:fldChar w:fldCharType="separate"/>
      </w:r>
      <w:r>
        <w:rPr>
          <w:rStyle w:val="24"/>
          <w:rFonts w:cs="Times New Roman"/>
          <w:sz w:val="24"/>
        </w:rPr>
        <w:t>5.1  围护结构材料</w:t>
      </w:r>
      <w:r>
        <w:rPr>
          <w:rFonts w:cs="Times New Roman"/>
        </w:rPr>
        <w:tab/>
      </w:r>
      <w:r>
        <w:rPr>
          <w:rFonts w:cs="Times New Roman"/>
        </w:rPr>
        <w:fldChar w:fldCharType="begin"/>
      </w:r>
      <w:r>
        <w:rPr>
          <w:rFonts w:cs="Times New Roman"/>
        </w:rPr>
        <w:instrText xml:space="preserve"> PAGEREF _Toc186533247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14:paraId="0B9F92BF">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"_Toc186533248" </w:instrText>
      </w:r>
      <w:r>
        <w:fldChar w:fldCharType="separate"/>
      </w:r>
      <w:r>
        <w:rPr>
          <w:rStyle w:val="24"/>
          <w:rFonts w:cs="Times New Roman"/>
          <w:sz w:val="24"/>
        </w:rPr>
        <w:t>5.1.1  砌体材料</w:t>
      </w:r>
      <w:r>
        <w:rPr>
          <w:rFonts w:cs="Times New Roman"/>
        </w:rPr>
        <w:tab/>
      </w:r>
      <w:r>
        <w:rPr>
          <w:rFonts w:cs="Times New Roman"/>
        </w:rPr>
        <w:fldChar w:fldCharType="begin"/>
      </w:r>
      <w:r>
        <w:rPr>
          <w:rFonts w:cs="Times New Roman"/>
        </w:rPr>
        <w:instrText xml:space="preserve"> PAGEREF _Toc186533248 \h </w:instrText>
      </w:r>
      <w:r>
        <w:rPr>
          <w:rFonts w:cs="Times New Roman"/>
        </w:rPr>
        <w:fldChar w:fldCharType="separate"/>
      </w:r>
      <w:r>
        <w:rPr>
          <w:rFonts w:cs="Times New Roman"/>
        </w:rPr>
        <w:t>16</w:t>
      </w:r>
      <w:r>
        <w:rPr>
          <w:rFonts w:cs="Times New Roman"/>
        </w:rPr>
        <w:fldChar w:fldCharType="end"/>
      </w:r>
      <w:r>
        <w:rPr>
          <w:rFonts w:cs="Times New Roman"/>
        </w:rPr>
        <w:fldChar w:fldCharType="end"/>
      </w:r>
    </w:p>
    <w:p w14:paraId="5C7D66EB">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"_Toc186533249" </w:instrText>
      </w:r>
      <w:r>
        <w:fldChar w:fldCharType="separate"/>
      </w:r>
      <w:r>
        <w:rPr>
          <w:rStyle w:val="24"/>
          <w:rFonts w:cs="Times New Roman"/>
          <w:sz w:val="24"/>
        </w:rPr>
        <w:t>5.1.2  外墙板</w:t>
      </w:r>
      <w:r>
        <w:rPr>
          <w:rFonts w:cs="Times New Roman"/>
        </w:rPr>
        <w:tab/>
      </w:r>
      <w:r>
        <w:rPr>
          <w:rFonts w:cs="Times New Roman"/>
        </w:rPr>
        <w:fldChar w:fldCharType="begin"/>
      </w:r>
      <w:r>
        <w:rPr>
          <w:rFonts w:cs="Times New Roman"/>
        </w:rPr>
        <w:instrText xml:space="preserve"> PAGEREF _Toc186533249 \h </w:instrText>
      </w:r>
      <w:r>
        <w:rPr>
          <w:rFonts w:cs="Times New Roman"/>
        </w:rPr>
        <w:fldChar w:fldCharType="separate"/>
      </w:r>
      <w:r>
        <w:rPr>
          <w:rFonts w:cs="Times New Roman"/>
        </w:rPr>
        <w:t>17</w:t>
      </w:r>
      <w:r>
        <w:rPr>
          <w:rFonts w:cs="Times New Roman"/>
        </w:rPr>
        <w:fldChar w:fldCharType="end"/>
      </w:r>
      <w:r>
        <w:rPr>
          <w:rFonts w:cs="Times New Roman"/>
        </w:rPr>
        <w:fldChar w:fldCharType="end"/>
      </w:r>
    </w:p>
    <w:p w14:paraId="19B4FD28">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"_Toc186533250" </w:instrText>
      </w:r>
      <w:r>
        <w:fldChar w:fldCharType="separate"/>
      </w:r>
      <w:r>
        <w:rPr>
          <w:rStyle w:val="24"/>
          <w:rFonts w:cs="Times New Roman"/>
          <w:sz w:val="24"/>
        </w:rPr>
        <w:t>5.1.3  防水卷材</w:t>
      </w:r>
      <w:r>
        <w:rPr>
          <w:rFonts w:cs="Times New Roman"/>
        </w:rPr>
        <w:tab/>
      </w:r>
      <w:r>
        <w:rPr>
          <w:rFonts w:cs="Times New Roman"/>
        </w:rPr>
        <w:fldChar w:fldCharType="begin"/>
      </w:r>
      <w:r>
        <w:rPr>
          <w:rFonts w:cs="Times New Roman"/>
        </w:rPr>
        <w:instrText xml:space="preserve"> PAGEREF _Toc186533250 \h </w:instrText>
      </w:r>
      <w:r>
        <w:rPr>
          <w:rFonts w:cs="Times New Roman"/>
        </w:rPr>
        <w:fldChar w:fldCharType="separate"/>
      </w:r>
      <w:r>
        <w:rPr>
          <w:rFonts w:cs="Times New Roman"/>
        </w:rPr>
        <w:t>19</w:t>
      </w:r>
      <w:r>
        <w:rPr>
          <w:rFonts w:cs="Times New Roman"/>
        </w:rPr>
        <w:fldChar w:fldCharType="end"/>
      </w:r>
      <w:r>
        <w:rPr>
          <w:rFonts w:cs="Times New Roman"/>
        </w:rPr>
        <w:fldChar w:fldCharType="end"/>
      </w:r>
    </w:p>
    <w:p w14:paraId="4F82E7D7">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"_Toc186533251" </w:instrText>
      </w:r>
      <w:r>
        <w:fldChar w:fldCharType="separate"/>
      </w:r>
      <w:r>
        <w:rPr>
          <w:rStyle w:val="24"/>
          <w:rFonts w:cs="Times New Roman"/>
          <w:sz w:val="24"/>
        </w:rPr>
        <w:t>5.1.4  防水涂料</w:t>
      </w:r>
      <w:r>
        <w:rPr>
          <w:rFonts w:cs="Times New Roman"/>
        </w:rPr>
        <w:tab/>
      </w:r>
      <w:r>
        <w:rPr>
          <w:rFonts w:cs="Times New Roman"/>
        </w:rPr>
        <w:fldChar w:fldCharType="begin"/>
      </w:r>
      <w:r>
        <w:rPr>
          <w:rFonts w:cs="Times New Roman"/>
        </w:rPr>
        <w:instrText xml:space="preserve"> PAGEREF _Toc186533251 \h </w:instrText>
      </w:r>
      <w:r>
        <w:rPr>
          <w:rFonts w:cs="Times New Roman"/>
        </w:rPr>
        <w:fldChar w:fldCharType="separate"/>
      </w:r>
      <w:r>
        <w:rPr>
          <w:rFonts w:cs="Times New Roman"/>
        </w:rPr>
        <w:t>19</w:t>
      </w:r>
      <w:r>
        <w:rPr>
          <w:rFonts w:cs="Times New Roman"/>
        </w:rPr>
        <w:fldChar w:fldCharType="end"/>
      </w:r>
      <w:r>
        <w:rPr>
          <w:rFonts w:cs="Times New Roman"/>
        </w:rPr>
        <w:fldChar w:fldCharType="end"/>
      </w:r>
    </w:p>
    <w:p w14:paraId="2EF945BF">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"_Toc186533252" </w:instrText>
      </w:r>
      <w:r>
        <w:fldChar w:fldCharType="separate"/>
      </w:r>
      <w:r>
        <w:rPr>
          <w:rStyle w:val="24"/>
          <w:rFonts w:cs="Times New Roman"/>
          <w:sz w:val="24"/>
        </w:rPr>
        <w:t>5.1.5  防火涂料</w:t>
      </w:r>
      <w:r>
        <w:rPr>
          <w:rFonts w:cs="Times New Roman"/>
        </w:rPr>
        <w:tab/>
      </w:r>
      <w:r>
        <w:rPr>
          <w:rFonts w:cs="Times New Roman"/>
        </w:rPr>
        <w:fldChar w:fldCharType="begin"/>
      </w:r>
      <w:r>
        <w:rPr>
          <w:rFonts w:cs="Times New Roman"/>
        </w:rPr>
        <w:instrText xml:space="preserve"> PAGEREF _Toc186533252 \h </w:instrText>
      </w:r>
      <w:r>
        <w:rPr>
          <w:rFonts w:cs="Times New Roman"/>
        </w:rPr>
        <w:fldChar w:fldCharType="separate"/>
      </w:r>
      <w:r>
        <w:rPr>
          <w:rFonts w:cs="Times New Roman"/>
        </w:rPr>
        <w:t>20</w:t>
      </w:r>
      <w:r>
        <w:rPr>
          <w:rFonts w:cs="Times New Roman"/>
        </w:rPr>
        <w:fldChar w:fldCharType="end"/>
      </w:r>
      <w:r>
        <w:rPr>
          <w:rFonts w:cs="Times New Roman"/>
        </w:rPr>
        <w:fldChar w:fldCharType="end"/>
      </w:r>
    </w:p>
    <w:p w14:paraId="0F67D69D">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"_Toc186533253" </w:instrText>
      </w:r>
      <w:r>
        <w:fldChar w:fldCharType="separate"/>
      </w:r>
      <w:r>
        <w:rPr>
          <w:rStyle w:val="24"/>
          <w:rFonts w:cs="Times New Roman"/>
          <w:sz w:val="24"/>
        </w:rPr>
        <w:t>5.1.6  刚性防水材料</w:t>
      </w:r>
      <w:r>
        <w:rPr>
          <w:rFonts w:cs="Times New Roman"/>
        </w:rPr>
        <w:tab/>
      </w:r>
      <w:r>
        <w:rPr>
          <w:rFonts w:cs="Times New Roman"/>
        </w:rPr>
        <w:fldChar w:fldCharType="begin"/>
      </w:r>
      <w:r>
        <w:rPr>
          <w:rFonts w:cs="Times New Roman"/>
        </w:rPr>
        <w:instrText xml:space="preserve"> PAGEREF _Toc186533253 \h </w:instrText>
      </w:r>
      <w:r>
        <w:rPr>
          <w:rFonts w:cs="Times New Roman"/>
        </w:rPr>
        <w:fldChar w:fldCharType="separate"/>
      </w:r>
      <w:r>
        <w:rPr>
          <w:rFonts w:cs="Times New Roman"/>
        </w:rPr>
        <w:t>21</w:t>
      </w:r>
      <w:r>
        <w:rPr>
          <w:rFonts w:cs="Times New Roman"/>
        </w:rPr>
        <w:fldChar w:fldCharType="end"/>
      </w:r>
      <w:r>
        <w:rPr>
          <w:rFonts w:cs="Times New Roman"/>
        </w:rPr>
        <w:fldChar w:fldCharType="end"/>
      </w:r>
    </w:p>
    <w:p w14:paraId="204F3A98">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"_Toc186533254" </w:instrText>
      </w:r>
      <w:r>
        <w:fldChar w:fldCharType="separate"/>
      </w:r>
      <w:r>
        <w:rPr>
          <w:rStyle w:val="24"/>
          <w:rFonts w:cs="Times New Roman"/>
          <w:sz w:val="24"/>
        </w:rPr>
        <w:t>5.1.7  防腐材料</w:t>
      </w:r>
      <w:r>
        <w:rPr>
          <w:rFonts w:cs="Times New Roman"/>
        </w:rPr>
        <w:tab/>
      </w:r>
      <w:r>
        <w:rPr>
          <w:rFonts w:cs="Times New Roman"/>
        </w:rPr>
        <w:fldChar w:fldCharType="begin"/>
      </w:r>
      <w:r>
        <w:rPr>
          <w:rFonts w:cs="Times New Roman"/>
        </w:rPr>
        <w:instrText xml:space="preserve"> PAGEREF _Toc186533254 \h </w:instrText>
      </w:r>
      <w:r>
        <w:rPr>
          <w:rFonts w:cs="Times New Roman"/>
        </w:rPr>
        <w:fldChar w:fldCharType="separate"/>
      </w:r>
      <w:r>
        <w:rPr>
          <w:rFonts w:cs="Times New Roman"/>
        </w:rPr>
        <w:t>21</w:t>
      </w:r>
      <w:r>
        <w:rPr>
          <w:rFonts w:cs="Times New Roman"/>
        </w:rPr>
        <w:fldChar w:fldCharType="end"/>
      </w:r>
      <w:r>
        <w:rPr>
          <w:rFonts w:cs="Times New Roman"/>
        </w:rPr>
        <w:fldChar w:fldCharType="end"/>
      </w:r>
    </w:p>
    <w:p w14:paraId="3C9797FC">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"_Toc186533255" </w:instrText>
      </w:r>
      <w:r>
        <w:fldChar w:fldCharType="separate"/>
      </w:r>
      <w:r>
        <w:rPr>
          <w:rStyle w:val="24"/>
          <w:rFonts w:cs="Times New Roman"/>
          <w:sz w:val="24"/>
        </w:rPr>
        <w:t>5.1.8  硅酮密封胶</w:t>
      </w:r>
      <w:r>
        <w:rPr>
          <w:rFonts w:cs="Times New Roman"/>
        </w:rPr>
        <w:tab/>
      </w:r>
      <w:r>
        <w:rPr>
          <w:rFonts w:cs="Times New Roman"/>
        </w:rPr>
        <w:fldChar w:fldCharType="begin"/>
      </w:r>
      <w:r>
        <w:rPr>
          <w:rFonts w:cs="Times New Roman"/>
        </w:rPr>
        <w:instrText xml:space="preserve"> PAGEREF _Toc186533255 \h </w:instrText>
      </w:r>
      <w:r>
        <w:rPr>
          <w:rFonts w:cs="Times New Roman"/>
        </w:rPr>
        <w:fldChar w:fldCharType="separate"/>
      </w:r>
      <w:r>
        <w:rPr>
          <w:rFonts w:cs="Times New Roman"/>
        </w:rPr>
        <w:t>23</w:t>
      </w:r>
      <w:r>
        <w:rPr>
          <w:rFonts w:cs="Times New Roman"/>
        </w:rPr>
        <w:fldChar w:fldCharType="end"/>
      </w:r>
      <w:r>
        <w:rPr>
          <w:rFonts w:cs="Times New Roman"/>
        </w:rPr>
        <w:fldChar w:fldCharType="end"/>
      </w:r>
    </w:p>
    <w:p w14:paraId="6D1EC465">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"_Toc186533256" </w:instrText>
      </w:r>
      <w:r>
        <w:fldChar w:fldCharType="separate"/>
      </w:r>
      <w:r>
        <w:rPr>
          <w:rStyle w:val="24"/>
          <w:rFonts w:cs="Times New Roman"/>
          <w:sz w:val="24"/>
        </w:rPr>
        <w:t>5.1.9  其他密封胶</w:t>
      </w:r>
      <w:r>
        <w:rPr>
          <w:rFonts w:cs="Times New Roman"/>
        </w:rPr>
        <w:tab/>
      </w:r>
      <w:r>
        <w:rPr>
          <w:rFonts w:cs="Times New Roman"/>
        </w:rPr>
        <w:fldChar w:fldCharType="begin"/>
      </w:r>
      <w:r>
        <w:rPr>
          <w:rFonts w:cs="Times New Roman"/>
        </w:rPr>
        <w:instrText xml:space="preserve"> PAGEREF _Toc186533256 \h </w:instrText>
      </w:r>
      <w:r>
        <w:rPr>
          <w:rFonts w:cs="Times New Roman"/>
        </w:rPr>
        <w:fldChar w:fldCharType="separate"/>
      </w:r>
      <w:r>
        <w:rPr>
          <w:rFonts w:cs="Times New Roman"/>
        </w:rPr>
        <w:t>24</w:t>
      </w:r>
      <w:r>
        <w:rPr>
          <w:rFonts w:cs="Times New Roman"/>
        </w:rPr>
        <w:fldChar w:fldCharType="end"/>
      </w:r>
      <w:r>
        <w:rPr>
          <w:rFonts w:cs="Times New Roman"/>
        </w:rPr>
        <w:fldChar w:fldCharType="end"/>
      </w:r>
    </w:p>
    <w:p w14:paraId="7D8F4DA5">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"_Toc186533257" </w:instrText>
      </w:r>
      <w:r>
        <w:fldChar w:fldCharType="separate"/>
      </w:r>
      <w:r>
        <w:rPr>
          <w:rStyle w:val="24"/>
          <w:rFonts w:cs="Times New Roman"/>
          <w:sz w:val="24"/>
        </w:rPr>
        <w:t>5.1.10  遮阳产品</w:t>
      </w:r>
      <w:r>
        <w:rPr>
          <w:rFonts w:cs="Times New Roman"/>
        </w:rPr>
        <w:tab/>
      </w:r>
      <w:r>
        <w:rPr>
          <w:rFonts w:cs="Times New Roman"/>
        </w:rPr>
        <w:fldChar w:fldCharType="begin"/>
      </w:r>
      <w:r>
        <w:rPr>
          <w:rFonts w:cs="Times New Roman"/>
        </w:rPr>
        <w:instrText xml:space="preserve"> PAGEREF _Toc186533257 \h </w:instrText>
      </w:r>
      <w:r>
        <w:rPr>
          <w:rFonts w:cs="Times New Roman"/>
        </w:rPr>
        <w:fldChar w:fldCharType="separate"/>
      </w:r>
      <w:r>
        <w:rPr>
          <w:rFonts w:cs="Times New Roman"/>
        </w:rPr>
        <w:t>25</w:t>
      </w:r>
      <w:r>
        <w:rPr>
          <w:rFonts w:cs="Times New Roman"/>
        </w:rPr>
        <w:fldChar w:fldCharType="end"/>
      </w:r>
      <w:r>
        <w:rPr>
          <w:rFonts w:cs="Times New Roman"/>
        </w:rPr>
        <w:fldChar w:fldCharType="end"/>
      </w:r>
    </w:p>
    <w:p w14:paraId="26FF338C">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"_Toc186533258" </w:instrText>
      </w:r>
      <w:r>
        <w:fldChar w:fldCharType="separate"/>
      </w:r>
      <w:r>
        <w:rPr>
          <w:rStyle w:val="24"/>
          <w:rFonts w:cs="Times New Roman"/>
          <w:sz w:val="24"/>
        </w:rPr>
        <w:t>5.1.11  混凝土结构外防护材料</w:t>
      </w:r>
      <w:r>
        <w:rPr>
          <w:rFonts w:cs="Times New Roman"/>
        </w:rPr>
        <w:tab/>
      </w:r>
      <w:r>
        <w:rPr>
          <w:rFonts w:cs="Times New Roman"/>
        </w:rPr>
        <w:fldChar w:fldCharType="begin"/>
      </w:r>
      <w:r>
        <w:rPr>
          <w:rFonts w:cs="Times New Roman"/>
        </w:rPr>
        <w:instrText xml:space="preserve"> PAGEREF _Toc186533258 \h </w:instrText>
      </w:r>
      <w:r>
        <w:rPr>
          <w:rFonts w:cs="Times New Roman"/>
        </w:rPr>
        <w:fldChar w:fldCharType="separate"/>
      </w:r>
      <w:r>
        <w:rPr>
          <w:rFonts w:cs="Times New Roman"/>
        </w:rPr>
        <w:t>25</w:t>
      </w:r>
      <w:r>
        <w:rPr>
          <w:rFonts w:cs="Times New Roman"/>
        </w:rPr>
        <w:fldChar w:fldCharType="end"/>
      </w:r>
      <w:r>
        <w:rPr>
          <w:rFonts w:cs="Times New Roman"/>
        </w:rPr>
        <w:fldChar w:fldCharType="end"/>
      </w:r>
    </w:p>
    <w:p w14:paraId="2DFA4E34">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"_Toc186533259" </w:instrText>
      </w:r>
      <w:r>
        <w:fldChar w:fldCharType="separate"/>
      </w:r>
      <w:r>
        <w:rPr>
          <w:rStyle w:val="24"/>
          <w:rFonts w:cs="Times New Roman"/>
          <w:sz w:val="24"/>
        </w:rPr>
        <w:t>5.1.12  建筑结构加固胶</w:t>
      </w:r>
      <w:r>
        <w:rPr>
          <w:rFonts w:cs="Times New Roman"/>
        </w:rPr>
        <w:tab/>
      </w:r>
      <w:r>
        <w:rPr>
          <w:rFonts w:cs="Times New Roman"/>
        </w:rPr>
        <w:fldChar w:fldCharType="begin"/>
      </w:r>
      <w:r>
        <w:rPr>
          <w:rFonts w:cs="Times New Roman"/>
        </w:rPr>
        <w:instrText xml:space="preserve"> PAGEREF _Toc186533259 \h </w:instrText>
      </w:r>
      <w:r>
        <w:rPr>
          <w:rFonts w:cs="Times New Roman"/>
        </w:rPr>
        <w:fldChar w:fldCharType="separate"/>
      </w:r>
      <w:r>
        <w:rPr>
          <w:rFonts w:cs="Times New Roman"/>
        </w:rPr>
        <w:t>27</w:t>
      </w:r>
      <w:r>
        <w:rPr>
          <w:rFonts w:cs="Times New Roman"/>
        </w:rPr>
        <w:fldChar w:fldCharType="end"/>
      </w:r>
      <w:r>
        <w:rPr>
          <w:rFonts w:cs="Times New Roman"/>
        </w:rPr>
        <w:fldChar w:fldCharType="end"/>
      </w:r>
    </w:p>
    <w:p w14:paraId="175299FE">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"_Toc186533260" </w:instrText>
      </w:r>
      <w:r>
        <w:fldChar w:fldCharType="separate"/>
      </w:r>
      <w:r>
        <w:rPr>
          <w:rStyle w:val="24"/>
          <w:rFonts w:cs="Times New Roman"/>
          <w:sz w:val="24"/>
        </w:rPr>
        <w:t>5.1.13  工程修复材料</w:t>
      </w:r>
      <w:r>
        <w:rPr>
          <w:rFonts w:cs="Times New Roman"/>
        </w:rPr>
        <w:tab/>
      </w:r>
      <w:r>
        <w:rPr>
          <w:rFonts w:cs="Times New Roman"/>
        </w:rPr>
        <w:fldChar w:fldCharType="begin"/>
      </w:r>
      <w:r>
        <w:rPr>
          <w:rFonts w:cs="Times New Roman"/>
        </w:rPr>
        <w:instrText xml:space="preserve"> PAGEREF _Toc186533260 \h </w:instrText>
      </w:r>
      <w:r>
        <w:rPr>
          <w:rFonts w:cs="Times New Roman"/>
        </w:rPr>
        <w:fldChar w:fldCharType="separate"/>
      </w:r>
      <w:r>
        <w:rPr>
          <w:rFonts w:cs="Times New Roman"/>
        </w:rPr>
        <w:t>31</w:t>
      </w:r>
      <w:r>
        <w:rPr>
          <w:rFonts w:cs="Times New Roman"/>
        </w:rPr>
        <w:fldChar w:fldCharType="end"/>
      </w:r>
      <w:r>
        <w:rPr>
          <w:rFonts w:cs="Times New Roman"/>
        </w:rPr>
        <w:fldChar w:fldCharType="end"/>
      </w:r>
    </w:p>
    <w:p w14:paraId="17935DF5">
      <w:pPr>
        <w:pStyle w:val="16"/>
        <w:tabs>
          <w:tab w:val="right" w:leader="dot" w:pos="8154"/>
        </w:tabs>
        <w:spacing w:line="588" w:lineRule="atLeast"/>
        <w:ind w:firstLine="1120" w:firstLineChars="400"/>
        <w:rPr>
          <w:rFonts w:cs="Times New Roman" w:eastAsiaTheme="minorEastAsia"/>
          <w:sz w:val="21"/>
        </w:rPr>
      </w:pPr>
      <w:r>
        <w:fldChar w:fldCharType="begin"/>
      </w:r>
      <w:r>
        <w:instrText xml:space="preserve"> HYPERLINK \l "_Toc186533261" </w:instrText>
      </w:r>
      <w:r>
        <w:fldChar w:fldCharType="separate"/>
      </w:r>
      <w:r>
        <w:rPr>
          <w:rStyle w:val="24"/>
          <w:rFonts w:cs="Times New Roman"/>
          <w:sz w:val="24"/>
        </w:rPr>
        <w:t>5.2  建筑装饰装修材料</w:t>
      </w:r>
      <w:r>
        <w:rPr>
          <w:rFonts w:cs="Times New Roman"/>
        </w:rPr>
        <w:tab/>
      </w:r>
      <w:r>
        <w:rPr>
          <w:rFonts w:cs="Times New Roman"/>
        </w:rPr>
        <w:fldChar w:fldCharType="begin"/>
      </w:r>
      <w:r>
        <w:rPr>
          <w:rFonts w:cs="Times New Roman"/>
        </w:rPr>
        <w:instrText xml:space="preserve"> PAGEREF _Toc186533261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14:paraId="71DBBA46">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"_Toc186533262" </w:instrText>
      </w:r>
      <w:r>
        <w:fldChar w:fldCharType="separate"/>
      </w:r>
      <w:r>
        <w:rPr>
          <w:rStyle w:val="24"/>
          <w:rFonts w:cs="Times New Roman"/>
          <w:sz w:val="24"/>
        </w:rPr>
        <w:t>Ⅰ  隔墙隔断材料</w:t>
      </w:r>
      <w:r>
        <w:rPr>
          <w:rFonts w:cs="Times New Roman"/>
        </w:rPr>
        <w:tab/>
      </w:r>
      <w:r>
        <w:rPr>
          <w:rFonts w:cs="Times New Roman"/>
        </w:rPr>
        <w:fldChar w:fldCharType="begin"/>
      </w:r>
      <w:r>
        <w:rPr>
          <w:rFonts w:cs="Times New Roman"/>
        </w:rPr>
        <w:instrText xml:space="preserve"> PAGEREF _Toc186533262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14:paraId="0F85CF02">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"_Toc186533263" </w:instrText>
      </w:r>
      <w:r>
        <w:fldChar w:fldCharType="separate"/>
      </w:r>
      <w:r>
        <w:rPr>
          <w:rStyle w:val="24"/>
          <w:rFonts w:cs="Times New Roman"/>
          <w:sz w:val="24"/>
        </w:rPr>
        <w:t>5.2.1  纸面石膏板</w:t>
      </w:r>
      <w:r>
        <w:rPr>
          <w:rFonts w:cs="Times New Roman"/>
        </w:rPr>
        <w:tab/>
      </w:r>
      <w:r>
        <w:rPr>
          <w:rFonts w:cs="Times New Roman"/>
        </w:rPr>
        <w:fldChar w:fldCharType="begin"/>
      </w:r>
      <w:r>
        <w:rPr>
          <w:rFonts w:cs="Times New Roman"/>
        </w:rPr>
        <w:instrText xml:space="preserve"> PAGEREF _Toc186533263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14:paraId="44ABD1AF">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"_Toc186533264" </w:instrText>
      </w:r>
      <w:r>
        <w:fldChar w:fldCharType="separate"/>
      </w:r>
      <w:r>
        <w:rPr>
          <w:rStyle w:val="24"/>
          <w:rFonts w:cs="Times New Roman"/>
          <w:sz w:val="24"/>
        </w:rPr>
        <w:t>5.2.2  吊顶材料</w:t>
      </w:r>
      <w:r>
        <w:rPr>
          <w:rFonts w:cs="Times New Roman"/>
        </w:rPr>
        <w:tab/>
      </w:r>
      <w:r>
        <w:rPr>
          <w:rFonts w:cs="Times New Roman"/>
        </w:rPr>
        <w:fldChar w:fldCharType="begin"/>
      </w:r>
      <w:r>
        <w:rPr>
          <w:rFonts w:cs="Times New Roman"/>
        </w:rPr>
        <w:instrText xml:space="preserve"> PAGEREF _Toc186533264 \h </w:instrText>
      </w:r>
      <w:r>
        <w:rPr>
          <w:rFonts w:cs="Times New Roman"/>
        </w:rPr>
        <w:fldChar w:fldCharType="separate"/>
      </w:r>
      <w:r>
        <w:rPr>
          <w:rFonts w:cs="Times New Roman"/>
        </w:rPr>
        <w:t>32</w:t>
      </w:r>
      <w:r>
        <w:rPr>
          <w:rFonts w:cs="Times New Roman"/>
        </w:rPr>
        <w:fldChar w:fldCharType="end"/>
      </w:r>
      <w:r>
        <w:rPr>
          <w:rFonts w:cs="Times New Roman"/>
        </w:rPr>
        <w:fldChar w:fldCharType="end"/>
      </w:r>
    </w:p>
    <w:p w14:paraId="5371F906">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"_Toc186533265" </w:instrText>
      </w:r>
      <w:r>
        <w:fldChar w:fldCharType="separate"/>
      </w:r>
      <w:r>
        <w:rPr>
          <w:rStyle w:val="24"/>
          <w:rFonts w:cs="Times New Roman"/>
          <w:sz w:val="24"/>
        </w:rPr>
        <w:t>5.2.3  泡沫铝板</w:t>
      </w:r>
      <w:r>
        <w:rPr>
          <w:rFonts w:cs="Times New Roman"/>
        </w:rPr>
        <w:tab/>
      </w:r>
      <w:r>
        <w:rPr>
          <w:rFonts w:cs="Times New Roman"/>
        </w:rPr>
        <w:fldChar w:fldCharType="begin"/>
      </w:r>
      <w:r>
        <w:rPr>
          <w:rFonts w:cs="Times New Roman"/>
        </w:rPr>
        <w:instrText xml:space="preserve"> PAGEREF _Toc186533265 \h </w:instrText>
      </w:r>
      <w:r>
        <w:rPr>
          <w:rFonts w:cs="Times New Roman"/>
        </w:rPr>
        <w:fldChar w:fldCharType="separate"/>
      </w:r>
      <w:r>
        <w:rPr>
          <w:rFonts w:cs="Times New Roman"/>
        </w:rPr>
        <w:t>33</w:t>
      </w:r>
      <w:r>
        <w:rPr>
          <w:rFonts w:cs="Times New Roman"/>
        </w:rPr>
        <w:fldChar w:fldCharType="end"/>
      </w:r>
      <w:r>
        <w:rPr>
          <w:rFonts w:cs="Times New Roman"/>
        </w:rPr>
        <w:fldChar w:fldCharType="end"/>
      </w:r>
    </w:p>
    <w:p w14:paraId="3CD7F42D">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"_Toc186533266" </w:instrText>
      </w:r>
      <w:r>
        <w:fldChar w:fldCharType="separate"/>
      </w:r>
      <w:r>
        <w:rPr>
          <w:rStyle w:val="24"/>
          <w:rFonts w:cs="Times New Roman"/>
          <w:sz w:val="24"/>
        </w:rPr>
        <w:t>5.2.4  其他</w:t>
      </w:r>
      <w:r>
        <w:rPr>
          <w:rFonts w:cs="Times New Roman"/>
        </w:rPr>
        <w:tab/>
      </w:r>
      <w:r>
        <w:rPr>
          <w:rFonts w:cs="Times New Roman"/>
        </w:rPr>
        <w:fldChar w:fldCharType="begin"/>
      </w:r>
      <w:r>
        <w:rPr>
          <w:rFonts w:cs="Times New Roman"/>
        </w:rPr>
        <w:instrText xml:space="preserve"> PAGEREF _Toc186533266 \h </w:instrText>
      </w:r>
      <w:r>
        <w:rPr>
          <w:rFonts w:cs="Times New Roman"/>
        </w:rPr>
        <w:fldChar w:fldCharType="separate"/>
      </w:r>
      <w:r>
        <w:rPr>
          <w:rFonts w:cs="Times New Roman"/>
        </w:rPr>
        <w:t>33</w:t>
      </w:r>
      <w:r>
        <w:rPr>
          <w:rFonts w:cs="Times New Roman"/>
        </w:rPr>
        <w:fldChar w:fldCharType="end"/>
      </w:r>
      <w:r>
        <w:rPr>
          <w:rFonts w:cs="Times New Roman"/>
        </w:rPr>
        <w:fldChar w:fldCharType="end"/>
      </w:r>
    </w:p>
    <w:p w14:paraId="254FFA12">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"_Toc186533267" </w:instrText>
      </w:r>
      <w:r>
        <w:fldChar w:fldCharType="separate"/>
      </w:r>
      <w:r>
        <w:rPr>
          <w:rStyle w:val="24"/>
          <w:rFonts w:cs="Times New Roman"/>
          <w:sz w:val="24"/>
        </w:rPr>
        <w:t>Ⅱ  墙面材料</w:t>
      </w:r>
      <w:r>
        <w:rPr>
          <w:rFonts w:cs="Times New Roman"/>
        </w:rPr>
        <w:tab/>
      </w:r>
      <w:r>
        <w:rPr>
          <w:rFonts w:cs="Times New Roman"/>
        </w:rPr>
        <w:fldChar w:fldCharType="begin"/>
      </w:r>
      <w:r>
        <w:rPr>
          <w:rFonts w:cs="Times New Roman"/>
        </w:rPr>
        <w:instrText xml:space="preserve"> PAGEREF _Toc186533267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14:paraId="7E18A43D">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"_Toc186533268" </w:instrText>
      </w:r>
      <w:r>
        <w:fldChar w:fldCharType="separate"/>
      </w:r>
      <w:r>
        <w:rPr>
          <w:rStyle w:val="24"/>
          <w:rFonts w:cs="Times New Roman"/>
          <w:sz w:val="24"/>
        </w:rPr>
        <w:t>5.2.5  墙面陶瓷砖（板）</w:t>
      </w:r>
      <w:r>
        <w:rPr>
          <w:rFonts w:cs="Times New Roman"/>
        </w:rPr>
        <w:tab/>
      </w:r>
      <w:r>
        <w:rPr>
          <w:rFonts w:cs="Times New Roman"/>
        </w:rPr>
        <w:fldChar w:fldCharType="begin"/>
      </w:r>
      <w:r>
        <w:rPr>
          <w:rFonts w:cs="Times New Roman"/>
        </w:rPr>
        <w:instrText xml:space="preserve"> PAGEREF _Toc186533268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14:paraId="07F1F1D3">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"_Toc186533269" </w:instrText>
      </w:r>
      <w:r>
        <w:fldChar w:fldCharType="separate"/>
      </w:r>
      <w:r>
        <w:rPr>
          <w:rStyle w:val="24"/>
          <w:rFonts w:cs="Times New Roman"/>
          <w:sz w:val="24"/>
        </w:rPr>
        <w:t>5.2.6  空气净化材料</w:t>
      </w:r>
      <w:r>
        <w:rPr>
          <w:rFonts w:cs="Times New Roman"/>
        </w:rPr>
        <w:tab/>
      </w:r>
      <w:r>
        <w:rPr>
          <w:rFonts w:cs="Times New Roman"/>
        </w:rPr>
        <w:fldChar w:fldCharType="begin"/>
      </w:r>
      <w:r>
        <w:rPr>
          <w:rFonts w:cs="Times New Roman"/>
        </w:rPr>
        <w:instrText xml:space="preserve"> PAGEREF _Toc186533269 \h </w:instrText>
      </w:r>
      <w:r>
        <w:rPr>
          <w:rFonts w:cs="Times New Roman"/>
        </w:rPr>
        <w:fldChar w:fldCharType="separate"/>
      </w:r>
      <w:r>
        <w:rPr>
          <w:rFonts w:cs="Times New Roman"/>
        </w:rPr>
        <w:t>34</w:t>
      </w:r>
      <w:r>
        <w:rPr>
          <w:rFonts w:cs="Times New Roman"/>
        </w:rPr>
        <w:fldChar w:fldCharType="end"/>
      </w:r>
      <w:r>
        <w:rPr>
          <w:rFonts w:cs="Times New Roman"/>
        </w:rPr>
        <w:fldChar w:fldCharType="end"/>
      </w:r>
    </w:p>
    <w:p w14:paraId="5B92DB61">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"_Toc186533270" </w:instrText>
      </w:r>
      <w:r>
        <w:fldChar w:fldCharType="separate"/>
      </w:r>
      <w:r>
        <w:rPr>
          <w:rStyle w:val="24"/>
          <w:rFonts w:cs="Times New Roman"/>
          <w:sz w:val="24"/>
        </w:rPr>
        <w:t>5.2.7  反射隔热涂料</w:t>
      </w:r>
      <w:r>
        <w:rPr>
          <w:rFonts w:cs="Times New Roman"/>
        </w:rPr>
        <w:tab/>
      </w:r>
      <w:r>
        <w:rPr>
          <w:rFonts w:cs="Times New Roman"/>
        </w:rPr>
        <w:fldChar w:fldCharType="begin"/>
      </w:r>
      <w:r>
        <w:rPr>
          <w:rFonts w:cs="Times New Roman"/>
        </w:rPr>
        <w:instrText xml:space="preserve"> PAGEREF _Toc186533270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14:paraId="1411C05A">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"_Toc186533271" </w:instrText>
      </w:r>
      <w:r>
        <w:fldChar w:fldCharType="separate"/>
      </w:r>
      <w:r>
        <w:rPr>
          <w:rStyle w:val="24"/>
          <w:rFonts w:cs="Times New Roman"/>
          <w:sz w:val="24"/>
        </w:rPr>
        <w:t>5.2.8  壁纸壁布</w:t>
      </w:r>
      <w:r>
        <w:rPr>
          <w:rFonts w:cs="Times New Roman"/>
        </w:rPr>
        <w:tab/>
      </w:r>
      <w:r>
        <w:rPr>
          <w:rFonts w:cs="Times New Roman"/>
        </w:rPr>
        <w:fldChar w:fldCharType="begin"/>
      </w:r>
      <w:r>
        <w:rPr>
          <w:rFonts w:cs="Times New Roman"/>
        </w:rPr>
        <w:instrText xml:space="preserve"> PAGEREF _Toc186533271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14:paraId="698BF4FB">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"_Toc186533272" </w:instrText>
      </w:r>
      <w:r>
        <w:fldChar w:fldCharType="separate"/>
      </w:r>
      <w:r>
        <w:rPr>
          <w:rStyle w:val="24"/>
          <w:rFonts w:cs="Times New Roman"/>
          <w:sz w:val="24"/>
        </w:rPr>
        <w:t>5.2.9  石材</w:t>
      </w:r>
      <w:r>
        <w:rPr>
          <w:rFonts w:cs="Times New Roman"/>
        </w:rPr>
        <w:tab/>
      </w:r>
      <w:r>
        <w:rPr>
          <w:rFonts w:cs="Times New Roman"/>
        </w:rPr>
        <w:fldChar w:fldCharType="begin"/>
      </w:r>
      <w:r>
        <w:rPr>
          <w:rFonts w:cs="Times New Roman"/>
        </w:rPr>
        <w:instrText xml:space="preserve"> PAGEREF _Toc186533272 \h </w:instrText>
      </w:r>
      <w:r>
        <w:rPr>
          <w:rFonts w:cs="Times New Roman"/>
        </w:rPr>
        <w:fldChar w:fldCharType="separate"/>
      </w:r>
      <w:r>
        <w:rPr>
          <w:rFonts w:cs="Times New Roman"/>
        </w:rPr>
        <w:t>35</w:t>
      </w:r>
      <w:r>
        <w:rPr>
          <w:rFonts w:cs="Times New Roman"/>
        </w:rPr>
        <w:fldChar w:fldCharType="end"/>
      </w:r>
      <w:r>
        <w:rPr>
          <w:rFonts w:cs="Times New Roman"/>
        </w:rPr>
        <w:fldChar w:fldCharType="end"/>
      </w:r>
    </w:p>
    <w:p w14:paraId="73524192">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"_Toc186533273" </w:instrText>
      </w:r>
      <w:r>
        <w:fldChar w:fldCharType="separate"/>
      </w:r>
      <w:r>
        <w:rPr>
          <w:rStyle w:val="24"/>
          <w:rFonts w:cs="Times New Roman"/>
          <w:sz w:val="24"/>
        </w:rPr>
        <w:t>5.2.10  镁质装饰材料</w:t>
      </w:r>
      <w:r>
        <w:rPr>
          <w:rFonts w:cs="Times New Roman"/>
        </w:rPr>
        <w:tab/>
      </w:r>
      <w:r>
        <w:rPr>
          <w:rFonts w:cs="Times New Roman"/>
        </w:rPr>
        <w:fldChar w:fldCharType="begin"/>
      </w:r>
      <w:r>
        <w:rPr>
          <w:rFonts w:cs="Times New Roman"/>
        </w:rPr>
        <w:instrText xml:space="preserve"> PAGEREF _Toc186533273 \h </w:instrText>
      </w:r>
      <w:r>
        <w:rPr>
          <w:rFonts w:cs="Times New Roman"/>
        </w:rPr>
        <w:fldChar w:fldCharType="separate"/>
      </w:r>
      <w:r>
        <w:rPr>
          <w:rFonts w:cs="Times New Roman"/>
        </w:rPr>
        <w:t>36</w:t>
      </w:r>
      <w:r>
        <w:rPr>
          <w:rFonts w:cs="Times New Roman"/>
        </w:rPr>
        <w:fldChar w:fldCharType="end"/>
      </w:r>
      <w:r>
        <w:rPr>
          <w:rFonts w:cs="Times New Roman"/>
        </w:rPr>
        <w:fldChar w:fldCharType="end"/>
      </w:r>
    </w:p>
    <w:p w14:paraId="473E631E">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"_Toc186533274" </w:instrText>
      </w:r>
      <w:r>
        <w:fldChar w:fldCharType="separate"/>
      </w:r>
      <w:r>
        <w:rPr>
          <w:rStyle w:val="24"/>
          <w:rFonts w:cs="Times New Roman"/>
          <w:sz w:val="24"/>
        </w:rPr>
        <w:t>5.2.11  镀锌轻钢龙骨</w:t>
      </w:r>
      <w:r>
        <w:rPr>
          <w:rFonts w:cs="Times New Roman"/>
        </w:rPr>
        <w:tab/>
      </w:r>
      <w:r>
        <w:rPr>
          <w:rFonts w:cs="Times New Roman"/>
        </w:rPr>
        <w:fldChar w:fldCharType="begin"/>
      </w:r>
      <w:r>
        <w:rPr>
          <w:rFonts w:cs="Times New Roman"/>
        </w:rPr>
        <w:instrText xml:space="preserve"> PAGEREF _Toc186533274 \h </w:instrText>
      </w:r>
      <w:r>
        <w:rPr>
          <w:rFonts w:cs="Times New Roman"/>
        </w:rPr>
        <w:fldChar w:fldCharType="separate"/>
      </w:r>
      <w:r>
        <w:rPr>
          <w:rFonts w:cs="Times New Roman"/>
        </w:rPr>
        <w:t>36</w:t>
      </w:r>
      <w:r>
        <w:rPr>
          <w:rFonts w:cs="Times New Roman"/>
        </w:rPr>
        <w:fldChar w:fldCharType="end"/>
      </w:r>
      <w:r>
        <w:rPr>
          <w:rFonts w:cs="Times New Roman"/>
        </w:rPr>
        <w:fldChar w:fldCharType="end"/>
      </w:r>
    </w:p>
    <w:p w14:paraId="7A6A5A6F">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"_Toc186533275" </w:instrText>
      </w:r>
      <w:r>
        <w:fldChar w:fldCharType="separate"/>
      </w:r>
      <w:r>
        <w:rPr>
          <w:rStyle w:val="24"/>
          <w:rFonts w:cs="Times New Roman"/>
          <w:sz w:val="24"/>
        </w:rPr>
        <w:t>5.2.12  重组材</w:t>
      </w:r>
      <w:r>
        <w:rPr>
          <w:rFonts w:cs="Times New Roman"/>
        </w:rPr>
        <w:tab/>
      </w:r>
      <w:r>
        <w:rPr>
          <w:rFonts w:cs="Times New Roman"/>
        </w:rPr>
        <w:fldChar w:fldCharType="begin"/>
      </w:r>
      <w:r>
        <w:rPr>
          <w:rFonts w:cs="Times New Roman"/>
        </w:rPr>
        <w:instrText xml:space="preserve"> PAGEREF _Toc186533275 \h </w:instrText>
      </w:r>
      <w:r>
        <w:rPr>
          <w:rFonts w:cs="Times New Roman"/>
        </w:rPr>
        <w:fldChar w:fldCharType="separate"/>
      </w:r>
      <w:r>
        <w:rPr>
          <w:rFonts w:cs="Times New Roman"/>
        </w:rPr>
        <w:t>37</w:t>
      </w:r>
      <w:r>
        <w:rPr>
          <w:rFonts w:cs="Times New Roman"/>
        </w:rPr>
        <w:fldChar w:fldCharType="end"/>
      </w:r>
      <w:r>
        <w:rPr>
          <w:rFonts w:cs="Times New Roman"/>
        </w:rPr>
        <w:fldChar w:fldCharType="end"/>
      </w:r>
    </w:p>
    <w:p w14:paraId="1A4DFB22">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"_Toc186533276" </w:instrText>
      </w:r>
      <w:r>
        <w:fldChar w:fldCharType="separate"/>
      </w:r>
      <w:r>
        <w:rPr>
          <w:rStyle w:val="24"/>
          <w:rFonts w:cs="Times New Roman"/>
          <w:sz w:val="24"/>
        </w:rPr>
        <w:t>Ⅲ  地面材料</w:t>
      </w:r>
      <w:r>
        <w:rPr>
          <w:rFonts w:cs="Times New Roman"/>
        </w:rPr>
        <w:tab/>
      </w:r>
      <w:r>
        <w:rPr>
          <w:rFonts w:cs="Times New Roman"/>
        </w:rPr>
        <w:fldChar w:fldCharType="begin"/>
      </w:r>
      <w:r>
        <w:rPr>
          <w:rFonts w:cs="Times New Roman"/>
        </w:rPr>
        <w:instrText xml:space="preserve"> PAGEREF _Toc186533276 \h </w:instrText>
      </w:r>
      <w:r>
        <w:rPr>
          <w:rFonts w:cs="Times New Roman"/>
        </w:rPr>
        <w:fldChar w:fldCharType="separate"/>
      </w:r>
      <w:r>
        <w:rPr>
          <w:rFonts w:cs="Times New Roman"/>
        </w:rPr>
        <w:t>37</w:t>
      </w:r>
      <w:r>
        <w:rPr>
          <w:rFonts w:cs="Times New Roman"/>
        </w:rPr>
        <w:fldChar w:fldCharType="end"/>
      </w:r>
      <w:r>
        <w:rPr>
          <w:rFonts w:cs="Times New Roman"/>
        </w:rPr>
        <w:fldChar w:fldCharType="end"/>
      </w:r>
    </w:p>
    <w:p w14:paraId="27146CCA">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"_Toc186533277" </w:instrText>
      </w:r>
      <w:r>
        <w:fldChar w:fldCharType="separate"/>
      </w:r>
      <w:r>
        <w:rPr>
          <w:rStyle w:val="24"/>
          <w:rFonts w:cs="Times New Roman"/>
          <w:sz w:val="24"/>
        </w:rPr>
        <w:t>5.2.13  地面陶瓷砖（板）</w:t>
      </w:r>
      <w:r>
        <w:rPr>
          <w:rFonts w:cs="Times New Roman"/>
        </w:rPr>
        <w:tab/>
      </w:r>
      <w:r>
        <w:rPr>
          <w:rFonts w:cs="Times New Roman"/>
        </w:rPr>
        <w:fldChar w:fldCharType="begin"/>
      </w:r>
      <w:r>
        <w:rPr>
          <w:rFonts w:cs="Times New Roman"/>
        </w:rPr>
        <w:instrText xml:space="preserve"> PAGEREF _Toc186533277 \h </w:instrText>
      </w:r>
      <w:r>
        <w:rPr>
          <w:rFonts w:cs="Times New Roman"/>
        </w:rPr>
        <w:fldChar w:fldCharType="separate"/>
      </w:r>
      <w:r>
        <w:rPr>
          <w:rFonts w:cs="Times New Roman"/>
        </w:rPr>
        <w:t>37</w:t>
      </w:r>
      <w:r>
        <w:rPr>
          <w:rFonts w:cs="Times New Roman"/>
        </w:rPr>
        <w:fldChar w:fldCharType="end"/>
      </w:r>
      <w:r>
        <w:rPr>
          <w:rFonts w:cs="Times New Roman"/>
        </w:rPr>
        <w:fldChar w:fldCharType="end"/>
      </w:r>
    </w:p>
    <w:p w14:paraId="2F67DD94">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"_Toc186533278" </w:instrText>
      </w:r>
      <w:r>
        <w:fldChar w:fldCharType="separate"/>
      </w:r>
      <w:r>
        <w:rPr>
          <w:rStyle w:val="24"/>
          <w:rFonts w:cs="Times New Roman"/>
          <w:sz w:val="24"/>
        </w:rPr>
        <w:t>5.2.14  木地板</w:t>
      </w:r>
      <w:r>
        <w:rPr>
          <w:rFonts w:cs="Times New Roman"/>
        </w:rPr>
        <w:tab/>
      </w:r>
      <w:r>
        <w:rPr>
          <w:rFonts w:cs="Times New Roman"/>
        </w:rPr>
        <w:fldChar w:fldCharType="begin"/>
      </w:r>
      <w:r>
        <w:rPr>
          <w:rFonts w:cs="Times New Roman"/>
        </w:rPr>
        <w:instrText xml:space="preserve"> PAGEREF _Toc186533278 \h </w:instrText>
      </w:r>
      <w:r>
        <w:rPr>
          <w:rFonts w:cs="Times New Roman"/>
        </w:rPr>
        <w:fldChar w:fldCharType="separate"/>
      </w:r>
      <w:r>
        <w:rPr>
          <w:rFonts w:cs="Times New Roman"/>
        </w:rPr>
        <w:t>38</w:t>
      </w:r>
      <w:r>
        <w:rPr>
          <w:rFonts w:cs="Times New Roman"/>
        </w:rPr>
        <w:fldChar w:fldCharType="end"/>
      </w:r>
      <w:r>
        <w:rPr>
          <w:rFonts w:cs="Times New Roman"/>
        </w:rPr>
        <w:fldChar w:fldCharType="end"/>
      </w:r>
    </w:p>
    <w:p w14:paraId="2649EBEC">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"_Toc186533279" </w:instrText>
      </w:r>
      <w:r>
        <w:fldChar w:fldCharType="separate"/>
      </w:r>
      <w:r>
        <w:rPr>
          <w:rStyle w:val="24"/>
          <w:rFonts w:cs="Times New Roman"/>
          <w:sz w:val="24"/>
        </w:rPr>
        <w:t>5.2.15  竹集成材地板</w:t>
      </w:r>
      <w:r>
        <w:rPr>
          <w:rFonts w:cs="Times New Roman"/>
        </w:rPr>
        <w:tab/>
      </w:r>
      <w:r>
        <w:rPr>
          <w:rFonts w:cs="Times New Roman"/>
        </w:rPr>
        <w:fldChar w:fldCharType="begin"/>
      </w:r>
      <w:r>
        <w:rPr>
          <w:rFonts w:cs="Times New Roman"/>
        </w:rPr>
        <w:instrText xml:space="preserve"> PAGEREF _Toc186533279 \h </w:instrText>
      </w:r>
      <w:r>
        <w:rPr>
          <w:rFonts w:cs="Times New Roman"/>
        </w:rPr>
        <w:fldChar w:fldCharType="separate"/>
      </w:r>
      <w:r>
        <w:rPr>
          <w:rFonts w:cs="Times New Roman"/>
        </w:rPr>
        <w:t>38</w:t>
      </w:r>
      <w:r>
        <w:rPr>
          <w:rFonts w:cs="Times New Roman"/>
        </w:rPr>
        <w:fldChar w:fldCharType="end"/>
      </w:r>
      <w:r>
        <w:rPr>
          <w:rFonts w:cs="Times New Roman"/>
        </w:rPr>
        <w:fldChar w:fldCharType="end"/>
      </w:r>
    </w:p>
    <w:p w14:paraId="4CAF8048">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"_Toc186533280" </w:instrText>
      </w:r>
      <w:r>
        <w:fldChar w:fldCharType="separate"/>
      </w:r>
      <w:r>
        <w:rPr>
          <w:rStyle w:val="24"/>
          <w:rFonts w:cs="Times New Roman"/>
          <w:sz w:val="24"/>
        </w:rPr>
        <w:t>5.2.16  竹材饰面木质地板</w:t>
      </w:r>
      <w:r>
        <w:rPr>
          <w:rFonts w:cs="Times New Roman"/>
        </w:rPr>
        <w:tab/>
      </w:r>
      <w:r>
        <w:rPr>
          <w:rFonts w:cs="Times New Roman"/>
        </w:rPr>
        <w:fldChar w:fldCharType="begin"/>
      </w:r>
      <w:r>
        <w:rPr>
          <w:rFonts w:cs="Times New Roman"/>
        </w:rPr>
        <w:instrText xml:space="preserve"> PAGEREF _Toc186533280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14:paraId="3470B32B">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"_Toc186533281" </w:instrText>
      </w:r>
      <w:r>
        <w:fldChar w:fldCharType="separate"/>
      </w:r>
      <w:r>
        <w:rPr>
          <w:rStyle w:val="24"/>
          <w:rFonts w:cs="Times New Roman"/>
          <w:sz w:val="24"/>
        </w:rPr>
        <w:t>5.2.17  弹性地板</w:t>
      </w:r>
      <w:r>
        <w:rPr>
          <w:rFonts w:cs="Times New Roman"/>
        </w:rPr>
        <w:tab/>
      </w:r>
      <w:r>
        <w:rPr>
          <w:rFonts w:cs="Times New Roman"/>
        </w:rPr>
        <w:fldChar w:fldCharType="begin"/>
      </w:r>
      <w:r>
        <w:rPr>
          <w:rFonts w:cs="Times New Roman"/>
        </w:rPr>
        <w:instrText xml:space="preserve"> PAGEREF _Toc186533281 \h </w:instrText>
      </w:r>
      <w:r>
        <w:rPr>
          <w:rFonts w:cs="Times New Roman"/>
        </w:rPr>
        <w:fldChar w:fldCharType="separate"/>
      </w:r>
      <w:r>
        <w:rPr>
          <w:rFonts w:cs="Times New Roman"/>
        </w:rPr>
        <w:t>39</w:t>
      </w:r>
      <w:r>
        <w:rPr>
          <w:rFonts w:cs="Times New Roman"/>
        </w:rPr>
        <w:fldChar w:fldCharType="end"/>
      </w:r>
      <w:r>
        <w:rPr>
          <w:rFonts w:cs="Times New Roman"/>
        </w:rPr>
        <w:fldChar w:fldCharType="end"/>
      </w:r>
    </w:p>
    <w:p w14:paraId="433A99A2">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"_Toc186533282" </w:instrText>
      </w:r>
      <w:r>
        <w:fldChar w:fldCharType="separate"/>
      </w:r>
      <w:r>
        <w:rPr>
          <w:rStyle w:val="24"/>
          <w:rFonts w:cs="Times New Roman"/>
          <w:sz w:val="24"/>
        </w:rPr>
        <w:t>5.2.18  透水铺装材料</w:t>
      </w:r>
      <w:r>
        <w:rPr>
          <w:rFonts w:cs="Times New Roman"/>
        </w:rPr>
        <w:tab/>
      </w:r>
      <w:r>
        <w:rPr>
          <w:rFonts w:cs="Times New Roman"/>
        </w:rPr>
        <w:fldChar w:fldCharType="begin"/>
      </w:r>
      <w:r>
        <w:rPr>
          <w:rFonts w:cs="Times New Roman"/>
        </w:rPr>
        <w:instrText xml:space="preserve"> PAGEREF _Toc186533282 \h </w:instrText>
      </w:r>
      <w:r>
        <w:rPr>
          <w:rFonts w:cs="Times New Roman"/>
        </w:rPr>
        <w:fldChar w:fldCharType="separate"/>
      </w:r>
      <w:r>
        <w:rPr>
          <w:rFonts w:cs="Times New Roman"/>
        </w:rPr>
        <w:t>40</w:t>
      </w:r>
      <w:r>
        <w:rPr>
          <w:rFonts w:cs="Times New Roman"/>
        </w:rPr>
        <w:fldChar w:fldCharType="end"/>
      </w:r>
      <w:r>
        <w:rPr>
          <w:rFonts w:cs="Times New Roman"/>
        </w:rPr>
        <w:fldChar w:fldCharType="end"/>
      </w:r>
    </w:p>
    <w:p w14:paraId="6AE7FE1A">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"_Toc186533283" </w:instrText>
      </w:r>
      <w:r>
        <w:fldChar w:fldCharType="separate"/>
      </w:r>
      <w:r>
        <w:rPr>
          <w:rStyle w:val="24"/>
          <w:rFonts w:cs="Times New Roman"/>
          <w:sz w:val="24"/>
        </w:rPr>
        <w:t>Ⅳ  五金卫浴</w:t>
      </w:r>
      <w:r>
        <w:rPr>
          <w:rFonts w:cs="Times New Roman"/>
        </w:rPr>
        <w:tab/>
      </w:r>
      <w:r>
        <w:rPr>
          <w:rFonts w:cs="Times New Roman"/>
        </w:rPr>
        <w:fldChar w:fldCharType="begin"/>
      </w:r>
      <w:r>
        <w:rPr>
          <w:rFonts w:cs="Times New Roman"/>
        </w:rPr>
        <w:instrText xml:space="preserve"> PAGEREF _Toc186533283 \h </w:instrText>
      </w:r>
      <w:r>
        <w:rPr>
          <w:rFonts w:cs="Times New Roman"/>
        </w:rPr>
        <w:fldChar w:fldCharType="separate"/>
      </w:r>
      <w:r>
        <w:rPr>
          <w:rFonts w:cs="Times New Roman"/>
        </w:rPr>
        <w:t>41</w:t>
      </w:r>
      <w:r>
        <w:rPr>
          <w:rFonts w:cs="Times New Roman"/>
        </w:rPr>
        <w:fldChar w:fldCharType="end"/>
      </w:r>
      <w:r>
        <w:rPr>
          <w:rFonts w:cs="Times New Roman"/>
        </w:rPr>
        <w:fldChar w:fldCharType="end"/>
      </w:r>
    </w:p>
    <w:p w14:paraId="15E2C7D5">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"_Toc186533284" </w:instrText>
      </w:r>
      <w:r>
        <w:fldChar w:fldCharType="separate"/>
      </w:r>
      <w:r>
        <w:rPr>
          <w:rStyle w:val="24"/>
          <w:rFonts w:cs="Times New Roman"/>
          <w:sz w:val="24"/>
        </w:rPr>
        <w:t>5.2.19  卫生洁具</w:t>
      </w:r>
      <w:r>
        <w:rPr>
          <w:rFonts w:cs="Times New Roman"/>
        </w:rPr>
        <w:tab/>
      </w:r>
      <w:r>
        <w:rPr>
          <w:rFonts w:cs="Times New Roman"/>
        </w:rPr>
        <w:fldChar w:fldCharType="begin"/>
      </w:r>
      <w:r>
        <w:rPr>
          <w:rFonts w:cs="Times New Roman"/>
        </w:rPr>
        <w:instrText xml:space="preserve"> PAGEREF _Toc186533284 \h </w:instrText>
      </w:r>
      <w:r>
        <w:rPr>
          <w:rFonts w:cs="Times New Roman"/>
        </w:rPr>
        <w:fldChar w:fldCharType="separate"/>
      </w:r>
      <w:r>
        <w:rPr>
          <w:rFonts w:cs="Times New Roman"/>
        </w:rPr>
        <w:t>41</w:t>
      </w:r>
      <w:r>
        <w:rPr>
          <w:rFonts w:cs="Times New Roman"/>
        </w:rPr>
        <w:fldChar w:fldCharType="end"/>
      </w:r>
      <w:r>
        <w:rPr>
          <w:rFonts w:cs="Times New Roman"/>
        </w:rPr>
        <w:fldChar w:fldCharType="end"/>
      </w:r>
    </w:p>
    <w:p w14:paraId="4F20A6E1">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"_Toc186533285" </w:instrText>
      </w:r>
      <w:r>
        <w:fldChar w:fldCharType="separate"/>
      </w:r>
      <w:r>
        <w:rPr>
          <w:rStyle w:val="24"/>
          <w:rFonts w:cs="Times New Roman"/>
          <w:sz w:val="24"/>
        </w:rPr>
        <w:t>5.2.20  五金配件</w:t>
      </w:r>
      <w:r>
        <w:rPr>
          <w:rFonts w:cs="Times New Roman"/>
        </w:rPr>
        <w:tab/>
      </w:r>
      <w:r>
        <w:rPr>
          <w:rFonts w:cs="Times New Roman"/>
        </w:rPr>
        <w:fldChar w:fldCharType="begin"/>
      </w:r>
      <w:r>
        <w:rPr>
          <w:rFonts w:cs="Times New Roman"/>
        </w:rPr>
        <w:instrText xml:space="preserve"> PAGEREF _Toc186533285 \h </w:instrText>
      </w:r>
      <w:r>
        <w:rPr>
          <w:rFonts w:cs="Times New Roman"/>
        </w:rPr>
        <w:fldChar w:fldCharType="separate"/>
      </w:r>
      <w:r>
        <w:rPr>
          <w:rFonts w:cs="Times New Roman"/>
        </w:rPr>
        <w:t>42</w:t>
      </w:r>
      <w:r>
        <w:rPr>
          <w:rFonts w:cs="Times New Roman"/>
        </w:rPr>
        <w:fldChar w:fldCharType="end"/>
      </w:r>
      <w:r>
        <w:rPr>
          <w:rFonts w:cs="Times New Roman"/>
        </w:rPr>
        <w:fldChar w:fldCharType="end"/>
      </w:r>
    </w:p>
    <w:p w14:paraId="792AE689">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"_Toc186533286" </w:instrText>
      </w:r>
      <w:r>
        <w:fldChar w:fldCharType="separate"/>
      </w:r>
      <w:r>
        <w:rPr>
          <w:rStyle w:val="24"/>
          <w:rFonts w:cs="Times New Roman"/>
          <w:sz w:val="24"/>
        </w:rPr>
        <w:t>Ⅴ  其他</w:t>
      </w:r>
      <w:r>
        <w:rPr>
          <w:rFonts w:cs="Times New Roman"/>
        </w:rPr>
        <w:tab/>
      </w:r>
      <w:r>
        <w:rPr>
          <w:rFonts w:cs="Times New Roman"/>
        </w:rPr>
        <w:fldChar w:fldCharType="begin"/>
      </w:r>
      <w:r>
        <w:rPr>
          <w:rFonts w:cs="Times New Roman"/>
        </w:rPr>
        <w:instrText xml:space="preserve"> PAGEREF _Toc186533286 \h </w:instrText>
      </w:r>
      <w:r>
        <w:rPr>
          <w:rFonts w:cs="Times New Roman"/>
        </w:rPr>
        <w:fldChar w:fldCharType="separate"/>
      </w:r>
      <w:r>
        <w:rPr>
          <w:rFonts w:cs="Times New Roman"/>
        </w:rPr>
        <w:t>42</w:t>
      </w:r>
      <w:r>
        <w:rPr>
          <w:rFonts w:cs="Times New Roman"/>
        </w:rPr>
        <w:fldChar w:fldCharType="end"/>
      </w:r>
      <w:r>
        <w:rPr>
          <w:rFonts w:cs="Times New Roman"/>
        </w:rPr>
        <w:fldChar w:fldCharType="end"/>
      </w:r>
    </w:p>
    <w:p w14:paraId="5FD25FBD">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"_Toc186533287" </w:instrText>
      </w:r>
      <w:r>
        <w:fldChar w:fldCharType="separate"/>
      </w:r>
      <w:r>
        <w:rPr>
          <w:rStyle w:val="24"/>
          <w:rFonts w:cs="Times New Roman"/>
          <w:sz w:val="24"/>
        </w:rPr>
        <w:t>5.2.21  合成材料面层运动场地</w:t>
      </w:r>
      <w:r>
        <w:rPr>
          <w:rFonts w:cs="Times New Roman"/>
        </w:rPr>
        <w:tab/>
      </w:r>
      <w:r>
        <w:rPr>
          <w:rFonts w:cs="Times New Roman"/>
        </w:rPr>
        <w:fldChar w:fldCharType="begin"/>
      </w:r>
      <w:r>
        <w:rPr>
          <w:rFonts w:cs="Times New Roman"/>
        </w:rPr>
        <w:instrText xml:space="preserve"> PAGEREF _Toc186533287 \h </w:instrText>
      </w:r>
      <w:r>
        <w:rPr>
          <w:rFonts w:cs="Times New Roman"/>
        </w:rPr>
        <w:fldChar w:fldCharType="separate"/>
      </w:r>
      <w:r>
        <w:rPr>
          <w:rFonts w:cs="Times New Roman"/>
        </w:rPr>
        <w:t>42</w:t>
      </w:r>
      <w:r>
        <w:rPr>
          <w:rFonts w:cs="Times New Roman"/>
        </w:rPr>
        <w:fldChar w:fldCharType="end"/>
      </w:r>
      <w:r>
        <w:rPr>
          <w:rFonts w:cs="Times New Roman"/>
        </w:rPr>
        <w:fldChar w:fldCharType="end"/>
      </w:r>
    </w:p>
    <w:p w14:paraId="1BABB7AB">
      <w:pPr>
        <w:pStyle w:val="16"/>
        <w:tabs>
          <w:tab w:val="right" w:leader="dot" w:pos="8154"/>
        </w:tabs>
        <w:spacing w:line="588" w:lineRule="atLeast"/>
        <w:ind w:firstLine="1120" w:firstLineChars="400"/>
        <w:rPr>
          <w:rFonts w:cs="Times New Roman" w:eastAsiaTheme="minorEastAsia"/>
          <w:sz w:val="21"/>
        </w:rPr>
      </w:pPr>
      <w:r>
        <w:fldChar w:fldCharType="begin"/>
      </w:r>
      <w:r>
        <w:instrText xml:space="preserve"> HYPERLINK \l "_Toc186533288" </w:instrText>
      </w:r>
      <w:r>
        <w:fldChar w:fldCharType="separate"/>
      </w:r>
      <w:r>
        <w:rPr>
          <w:rStyle w:val="24"/>
          <w:rFonts w:cs="Times New Roman"/>
          <w:sz w:val="24"/>
        </w:rPr>
        <w:t>5.3  设备设施</w:t>
      </w:r>
      <w:r>
        <w:rPr>
          <w:rFonts w:cs="Times New Roman"/>
        </w:rPr>
        <w:tab/>
      </w:r>
      <w:r>
        <w:rPr>
          <w:rFonts w:cs="Times New Roman"/>
        </w:rPr>
        <w:fldChar w:fldCharType="begin"/>
      </w:r>
      <w:r>
        <w:rPr>
          <w:rFonts w:cs="Times New Roman"/>
        </w:rPr>
        <w:instrText xml:space="preserve"> PAGEREF _Toc186533288 \h </w:instrText>
      </w:r>
      <w:r>
        <w:rPr>
          <w:rFonts w:cs="Times New Roman"/>
        </w:rPr>
        <w:fldChar w:fldCharType="separate"/>
      </w:r>
      <w:r>
        <w:rPr>
          <w:rFonts w:cs="Times New Roman"/>
        </w:rPr>
        <w:t>43</w:t>
      </w:r>
      <w:r>
        <w:rPr>
          <w:rFonts w:cs="Times New Roman"/>
        </w:rPr>
        <w:fldChar w:fldCharType="end"/>
      </w:r>
      <w:r>
        <w:rPr>
          <w:rFonts w:cs="Times New Roman"/>
        </w:rPr>
        <w:fldChar w:fldCharType="end"/>
      </w:r>
    </w:p>
    <w:p w14:paraId="3B9EBCD2">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"_Toc186533289" </w:instrText>
      </w:r>
      <w:r>
        <w:fldChar w:fldCharType="separate"/>
      </w:r>
      <w:r>
        <w:rPr>
          <w:rStyle w:val="24"/>
          <w:rFonts w:cs="Times New Roman"/>
          <w:sz w:val="24"/>
        </w:rPr>
        <w:t>Ⅰ  给水排水</w:t>
      </w:r>
      <w:r>
        <w:rPr>
          <w:rFonts w:cs="Times New Roman"/>
        </w:rPr>
        <w:tab/>
      </w:r>
      <w:r>
        <w:rPr>
          <w:rFonts w:cs="Times New Roman"/>
        </w:rPr>
        <w:fldChar w:fldCharType="begin"/>
      </w:r>
      <w:r>
        <w:rPr>
          <w:rFonts w:cs="Times New Roman"/>
        </w:rPr>
        <w:instrText xml:space="preserve"> PAGEREF _Toc186533289 \h </w:instrText>
      </w:r>
      <w:r>
        <w:rPr>
          <w:rFonts w:cs="Times New Roman"/>
        </w:rPr>
        <w:fldChar w:fldCharType="separate"/>
      </w:r>
      <w:r>
        <w:rPr>
          <w:rFonts w:cs="Times New Roman"/>
        </w:rPr>
        <w:t>43</w:t>
      </w:r>
      <w:r>
        <w:rPr>
          <w:rFonts w:cs="Times New Roman"/>
        </w:rPr>
        <w:fldChar w:fldCharType="end"/>
      </w:r>
      <w:r>
        <w:rPr>
          <w:rFonts w:cs="Times New Roman"/>
        </w:rPr>
        <w:fldChar w:fldCharType="end"/>
      </w:r>
    </w:p>
    <w:p w14:paraId="538D0AE1">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"_Toc186533290" </w:instrText>
      </w:r>
      <w:r>
        <w:fldChar w:fldCharType="separate"/>
      </w:r>
      <w:r>
        <w:rPr>
          <w:rStyle w:val="24"/>
          <w:rFonts w:cs="Times New Roman"/>
          <w:sz w:val="24"/>
        </w:rPr>
        <w:t>5.3.1  管材管件</w:t>
      </w:r>
      <w:r>
        <w:rPr>
          <w:rFonts w:cs="Times New Roman"/>
        </w:rPr>
        <w:tab/>
      </w:r>
      <w:r>
        <w:rPr>
          <w:rFonts w:cs="Times New Roman"/>
        </w:rPr>
        <w:fldChar w:fldCharType="begin"/>
      </w:r>
      <w:r>
        <w:rPr>
          <w:rFonts w:cs="Times New Roman"/>
        </w:rPr>
        <w:instrText xml:space="preserve"> PAGEREF _Toc186533290 \h </w:instrText>
      </w:r>
      <w:r>
        <w:rPr>
          <w:rFonts w:cs="Times New Roman"/>
        </w:rPr>
        <w:fldChar w:fldCharType="separate"/>
      </w:r>
      <w:r>
        <w:rPr>
          <w:rFonts w:cs="Times New Roman"/>
        </w:rPr>
        <w:t>43</w:t>
      </w:r>
      <w:r>
        <w:rPr>
          <w:rFonts w:cs="Times New Roman"/>
        </w:rPr>
        <w:fldChar w:fldCharType="end"/>
      </w:r>
      <w:r>
        <w:rPr>
          <w:rFonts w:cs="Times New Roman"/>
        </w:rPr>
        <w:fldChar w:fldCharType="end"/>
      </w:r>
    </w:p>
    <w:p w14:paraId="4458AAB3">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"_Toc186533291" </w:instrText>
      </w:r>
      <w:r>
        <w:fldChar w:fldCharType="separate"/>
      </w:r>
      <w:r>
        <w:rPr>
          <w:rStyle w:val="24"/>
          <w:rFonts w:cs="Times New Roman"/>
          <w:sz w:val="24"/>
        </w:rPr>
        <w:t>5.3.2  阀门</w:t>
      </w:r>
      <w:r>
        <w:rPr>
          <w:rFonts w:cs="Times New Roman"/>
        </w:rPr>
        <w:tab/>
      </w:r>
      <w:r>
        <w:rPr>
          <w:rFonts w:cs="Times New Roman"/>
        </w:rPr>
        <w:fldChar w:fldCharType="begin"/>
      </w:r>
      <w:r>
        <w:rPr>
          <w:rFonts w:cs="Times New Roman"/>
        </w:rPr>
        <w:instrText xml:space="preserve"> PAGEREF _Toc186533291 \h </w:instrText>
      </w:r>
      <w:r>
        <w:rPr>
          <w:rFonts w:cs="Times New Roman"/>
        </w:rPr>
        <w:fldChar w:fldCharType="separate"/>
      </w:r>
      <w:r>
        <w:rPr>
          <w:rFonts w:cs="Times New Roman"/>
        </w:rPr>
        <w:t>44</w:t>
      </w:r>
      <w:r>
        <w:rPr>
          <w:rFonts w:cs="Times New Roman"/>
        </w:rPr>
        <w:fldChar w:fldCharType="end"/>
      </w:r>
      <w:r>
        <w:rPr>
          <w:rFonts w:cs="Times New Roman"/>
        </w:rPr>
        <w:fldChar w:fldCharType="end"/>
      </w:r>
    </w:p>
    <w:p w14:paraId="7D8E0D5E">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"_Toc186533292" </w:instrText>
      </w:r>
      <w:r>
        <w:fldChar w:fldCharType="separate"/>
      </w:r>
      <w:r>
        <w:rPr>
          <w:rStyle w:val="24"/>
          <w:rFonts w:cs="Times New Roman"/>
          <w:sz w:val="24"/>
        </w:rPr>
        <w:t>5.3.3  中水处理设备</w:t>
      </w:r>
      <w:r>
        <w:rPr>
          <w:rFonts w:cs="Times New Roman"/>
        </w:rPr>
        <w:tab/>
      </w:r>
      <w:r>
        <w:rPr>
          <w:rFonts w:cs="Times New Roman"/>
        </w:rPr>
        <w:fldChar w:fldCharType="begin"/>
      </w:r>
      <w:r>
        <w:rPr>
          <w:rFonts w:cs="Times New Roman"/>
        </w:rPr>
        <w:instrText xml:space="preserve"> PAGEREF _Toc186533292 \h </w:instrText>
      </w:r>
      <w:r>
        <w:rPr>
          <w:rFonts w:cs="Times New Roman"/>
        </w:rPr>
        <w:fldChar w:fldCharType="separate"/>
      </w:r>
      <w:r>
        <w:rPr>
          <w:rFonts w:cs="Times New Roman"/>
        </w:rPr>
        <w:t>45</w:t>
      </w:r>
      <w:r>
        <w:rPr>
          <w:rFonts w:cs="Times New Roman"/>
        </w:rPr>
        <w:fldChar w:fldCharType="end"/>
      </w:r>
      <w:r>
        <w:rPr>
          <w:rFonts w:cs="Times New Roman"/>
        </w:rPr>
        <w:fldChar w:fldCharType="end"/>
      </w:r>
    </w:p>
    <w:p w14:paraId="69163B70">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"_Toc186533293" </w:instrText>
      </w:r>
      <w:r>
        <w:fldChar w:fldCharType="separate"/>
      </w:r>
      <w:r>
        <w:rPr>
          <w:rStyle w:val="24"/>
          <w:rFonts w:cs="Times New Roman"/>
          <w:sz w:val="24"/>
        </w:rPr>
        <w:t>5.3.4  净水设备</w:t>
      </w:r>
      <w:r>
        <w:rPr>
          <w:rFonts w:cs="Times New Roman"/>
        </w:rPr>
        <w:tab/>
      </w:r>
      <w:r>
        <w:rPr>
          <w:rFonts w:cs="Times New Roman"/>
        </w:rPr>
        <w:fldChar w:fldCharType="begin"/>
      </w:r>
      <w:r>
        <w:rPr>
          <w:rFonts w:cs="Times New Roman"/>
        </w:rPr>
        <w:instrText xml:space="preserve"> PAGEREF _Toc186533293 \h </w:instrText>
      </w:r>
      <w:r>
        <w:rPr>
          <w:rFonts w:cs="Times New Roman"/>
        </w:rPr>
        <w:fldChar w:fldCharType="separate"/>
      </w:r>
      <w:r>
        <w:rPr>
          <w:rFonts w:cs="Times New Roman"/>
        </w:rPr>
        <w:t>45</w:t>
      </w:r>
      <w:r>
        <w:rPr>
          <w:rFonts w:cs="Times New Roman"/>
        </w:rPr>
        <w:fldChar w:fldCharType="end"/>
      </w:r>
      <w:r>
        <w:rPr>
          <w:rFonts w:cs="Times New Roman"/>
        </w:rPr>
        <w:fldChar w:fldCharType="end"/>
      </w:r>
    </w:p>
    <w:p w14:paraId="5A20A527">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"_Toc186533294" </w:instrText>
      </w:r>
      <w:r>
        <w:fldChar w:fldCharType="separate"/>
      </w:r>
      <w:r>
        <w:rPr>
          <w:rStyle w:val="24"/>
          <w:rFonts w:cs="Times New Roman"/>
          <w:sz w:val="24"/>
        </w:rPr>
        <w:t>5.3.5  软化设备</w:t>
      </w:r>
      <w:r>
        <w:rPr>
          <w:rFonts w:cs="Times New Roman"/>
        </w:rPr>
        <w:tab/>
      </w:r>
      <w:r>
        <w:rPr>
          <w:rFonts w:cs="Times New Roman"/>
        </w:rPr>
        <w:fldChar w:fldCharType="begin"/>
      </w:r>
      <w:r>
        <w:rPr>
          <w:rFonts w:cs="Times New Roman"/>
        </w:rPr>
        <w:instrText xml:space="preserve"> PAGEREF _Toc186533294 \h </w:instrText>
      </w:r>
      <w:r>
        <w:rPr>
          <w:rFonts w:cs="Times New Roman"/>
        </w:rPr>
        <w:fldChar w:fldCharType="separate"/>
      </w:r>
      <w:r>
        <w:rPr>
          <w:rFonts w:cs="Times New Roman"/>
        </w:rPr>
        <w:t>46</w:t>
      </w:r>
      <w:r>
        <w:rPr>
          <w:rFonts w:cs="Times New Roman"/>
        </w:rPr>
        <w:fldChar w:fldCharType="end"/>
      </w:r>
      <w:r>
        <w:rPr>
          <w:rFonts w:cs="Times New Roman"/>
        </w:rPr>
        <w:fldChar w:fldCharType="end"/>
      </w:r>
    </w:p>
    <w:p w14:paraId="1176FEB2">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"_Toc186533295" </w:instrText>
      </w:r>
      <w:r>
        <w:fldChar w:fldCharType="separate"/>
      </w:r>
      <w:r>
        <w:rPr>
          <w:rStyle w:val="24"/>
          <w:rFonts w:cs="Times New Roman"/>
          <w:sz w:val="24"/>
        </w:rPr>
        <w:t>5.3.6  雨水回收系统</w:t>
      </w:r>
      <w:r>
        <w:rPr>
          <w:rFonts w:cs="Times New Roman"/>
        </w:rPr>
        <w:tab/>
      </w:r>
      <w:r>
        <w:rPr>
          <w:rFonts w:cs="Times New Roman"/>
        </w:rPr>
        <w:fldChar w:fldCharType="begin"/>
      </w:r>
      <w:r>
        <w:rPr>
          <w:rFonts w:cs="Times New Roman"/>
        </w:rPr>
        <w:instrText xml:space="preserve"> PAGEREF _Toc186533295 \h </w:instrText>
      </w:r>
      <w:r>
        <w:rPr>
          <w:rFonts w:cs="Times New Roman"/>
        </w:rPr>
        <w:fldChar w:fldCharType="separate"/>
      </w:r>
      <w:r>
        <w:rPr>
          <w:rFonts w:cs="Times New Roman"/>
        </w:rPr>
        <w:t>46</w:t>
      </w:r>
      <w:r>
        <w:rPr>
          <w:rFonts w:cs="Times New Roman"/>
        </w:rPr>
        <w:fldChar w:fldCharType="end"/>
      </w:r>
      <w:r>
        <w:rPr>
          <w:rFonts w:cs="Times New Roman"/>
        </w:rPr>
        <w:fldChar w:fldCharType="end"/>
      </w:r>
    </w:p>
    <w:p w14:paraId="27FDF63B">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"_Toc186533296" </w:instrText>
      </w:r>
      <w:r>
        <w:fldChar w:fldCharType="separate"/>
      </w:r>
      <w:r>
        <w:rPr>
          <w:rStyle w:val="24"/>
          <w:rFonts w:cs="Times New Roman"/>
          <w:sz w:val="24"/>
        </w:rPr>
        <w:t>5.3.7  二次供水设备</w:t>
      </w:r>
      <w:r>
        <w:rPr>
          <w:rFonts w:cs="Times New Roman"/>
        </w:rPr>
        <w:tab/>
      </w:r>
      <w:r>
        <w:rPr>
          <w:rFonts w:cs="Times New Roman"/>
        </w:rPr>
        <w:fldChar w:fldCharType="begin"/>
      </w:r>
      <w:r>
        <w:rPr>
          <w:rFonts w:cs="Times New Roman"/>
        </w:rPr>
        <w:instrText xml:space="preserve"> PAGEREF _Toc186533296 \h </w:instrText>
      </w:r>
      <w:r>
        <w:rPr>
          <w:rFonts w:cs="Times New Roman"/>
        </w:rPr>
        <w:fldChar w:fldCharType="separate"/>
      </w:r>
      <w:r>
        <w:rPr>
          <w:rFonts w:cs="Times New Roman"/>
        </w:rPr>
        <w:t>46</w:t>
      </w:r>
      <w:r>
        <w:rPr>
          <w:rFonts w:cs="Times New Roman"/>
        </w:rPr>
        <w:fldChar w:fldCharType="end"/>
      </w:r>
      <w:r>
        <w:rPr>
          <w:rFonts w:cs="Times New Roman"/>
        </w:rPr>
        <w:fldChar w:fldCharType="end"/>
      </w:r>
    </w:p>
    <w:p w14:paraId="6EA5C59B">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"_Toc186533297" </w:instrText>
      </w:r>
      <w:r>
        <w:fldChar w:fldCharType="separate"/>
      </w:r>
      <w:r>
        <w:rPr>
          <w:rStyle w:val="24"/>
          <w:rFonts w:cs="Times New Roman"/>
          <w:sz w:val="24"/>
        </w:rPr>
        <w:t>Ⅱ  暖通空调</w:t>
      </w:r>
      <w:r>
        <w:rPr>
          <w:rFonts w:cs="Times New Roman"/>
        </w:rPr>
        <w:tab/>
      </w:r>
      <w:r>
        <w:rPr>
          <w:rFonts w:cs="Times New Roman"/>
        </w:rPr>
        <w:fldChar w:fldCharType="begin"/>
      </w:r>
      <w:r>
        <w:rPr>
          <w:rFonts w:cs="Times New Roman"/>
        </w:rPr>
        <w:instrText xml:space="preserve"> PAGEREF _Toc186533297 \h </w:instrText>
      </w:r>
      <w:r>
        <w:rPr>
          <w:rFonts w:cs="Times New Roman"/>
        </w:rPr>
        <w:fldChar w:fldCharType="separate"/>
      </w:r>
      <w:r>
        <w:rPr>
          <w:rFonts w:cs="Times New Roman"/>
        </w:rPr>
        <w:t>47</w:t>
      </w:r>
      <w:r>
        <w:rPr>
          <w:rFonts w:cs="Times New Roman"/>
        </w:rPr>
        <w:fldChar w:fldCharType="end"/>
      </w:r>
      <w:r>
        <w:rPr>
          <w:rFonts w:cs="Times New Roman"/>
        </w:rPr>
        <w:fldChar w:fldCharType="end"/>
      </w:r>
    </w:p>
    <w:p w14:paraId="594CD88A">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"_Toc186533298" </w:instrText>
      </w:r>
      <w:r>
        <w:fldChar w:fldCharType="separate"/>
      </w:r>
      <w:r>
        <w:rPr>
          <w:rStyle w:val="24"/>
          <w:rFonts w:cs="Times New Roman"/>
          <w:sz w:val="24"/>
        </w:rPr>
        <w:t>5.3.8  冷热源设备</w:t>
      </w:r>
      <w:r>
        <w:rPr>
          <w:rFonts w:cs="Times New Roman"/>
        </w:rPr>
        <w:tab/>
      </w:r>
      <w:r>
        <w:rPr>
          <w:rFonts w:cs="Times New Roman"/>
        </w:rPr>
        <w:fldChar w:fldCharType="begin"/>
      </w:r>
      <w:r>
        <w:rPr>
          <w:rFonts w:cs="Times New Roman"/>
        </w:rPr>
        <w:instrText xml:space="preserve"> PAGEREF _Toc186533298 \h </w:instrText>
      </w:r>
      <w:r>
        <w:rPr>
          <w:rFonts w:cs="Times New Roman"/>
        </w:rPr>
        <w:fldChar w:fldCharType="separate"/>
      </w:r>
      <w:r>
        <w:rPr>
          <w:rFonts w:cs="Times New Roman"/>
        </w:rPr>
        <w:t>47</w:t>
      </w:r>
      <w:r>
        <w:rPr>
          <w:rFonts w:cs="Times New Roman"/>
        </w:rPr>
        <w:fldChar w:fldCharType="end"/>
      </w:r>
      <w:r>
        <w:rPr>
          <w:rFonts w:cs="Times New Roman"/>
        </w:rPr>
        <w:fldChar w:fldCharType="end"/>
      </w:r>
    </w:p>
    <w:p w14:paraId="23E8CE9C">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"_Toc186533299" </w:instrText>
      </w:r>
      <w:r>
        <w:fldChar w:fldCharType="separate"/>
      </w:r>
      <w:r>
        <w:rPr>
          <w:rStyle w:val="24"/>
          <w:rFonts w:cs="Times New Roman"/>
          <w:sz w:val="24"/>
        </w:rPr>
        <w:t>5.3.9  通风系统设备</w:t>
      </w:r>
      <w:r>
        <w:rPr>
          <w:rFonts w:cs="Times New Roman"/>
        </w:rPr>
        <w:tab/>
      </w:r>
      <w:r>
        <w:rPr>
          <w:rFonts w:cs="Times New Roman"/>
        </w:rPr>
        <w:fldChar w:fldCharType="begin"/>
      </w:r>
      <w:r>
        <w:rPr>
          <w:rFonts w:cs="Times New Roman"/>
        </w:rPr>
        <w:instrText xml:space="preserve"> PAGEREF _Toc186533299 \h </w:instrText>
      </w:r>
      <w:r>
        <w:rPr>
          <w:rFonts w:cs="Times New Roman"/>
        </w:rPr>
        <w:fldChar w:fldCharType="separate"/>
      </w:r>
      <w:r>
        <w:rPr>
          <w:rFonts w:cs="Times New Roman"/>
        </w:rPr>
        <w:t>48</w:t>
      </w:r>
      <w:r>
        <w:rPr>
          <w:rFonts w:cs="Times New Roman"/>
        </w:rPr>
        <w:fldChar w:fldCharType="end"/>
      </w:r>
      <w:r>
        <w:rPr>
          <w:rFonts w:cs="Times New Roman"/>
        </w:rPr>
        <w:fldChar w:fldCharType="end"/>
      </w:r>
    </w:p>
    <w:p w14:paraId="4BDCCA26">
      <w:pPr>
        <w:pStyle w:val="17"/>
        <w:tabs>
          <w:tab w:val="right" w:leader="dot" w:pos="8154"/>
        </w:tabs>
        <w:spacing w:line="588" w:lineRule="atLeast"/>
        <w:ind w:left="560" w:firstLine="560"/>
        <w:rPr>
          <w:rFonts w:cs="Times New Roman" w:eastAsiaTheme="minorEastAsia"/>
          <w:sz w:val="21"/>
        </w:rPr>
      </w:pPr>
      <w:r>
        <w:fldChar w:fldCharType="begin"/>
      </w:r>
      <w:r>
        <w:instrText xml:space="preserve"> HYPERLINK \l "_Toc186533300" </w:instrText>
      </w:r>
      <w:r>
        <w:fldChar w:fldCharType="separate"/>
      </w:r>
      <w:r>
        <w:rPr>
          <w:rStyle w:val="24"/>
          <w:rFonts w:cs="Times New Roman"/>
          <w:sz w:val="24"/>
        </w:rPr>
        <w:t>Ⅲ  建筑电气</w:t>
      </w:r>
      <w:r>
        <w:rPr>
          <w:rFonts w:cs="Times New Roman"/>
        </w:rPr>
        <w:tab/>
      </w:r>
      <w:r>
        <w:rPr>
          <w:rFonts w:cs="Times New Roman"/>
        </w:rPr>
        <w:fldChar w:fldCharType="begin"/>
      </w:r>
      <w:r>
        <w:rPr>
          <w:rFonts w:cs="Times New Roman"/>
        </w:rPr>
        <w:instrText xml:space="preserve"> PAGEREF _Toc186533300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14:paraId="1E22CEF9">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"_Toc186533301" </w:instrText>
      </w:r>
      <w:r>
        <w:fldChar w:fldCharType="separate"/>
      </w:r>
      <w:r>
        <w:rPr>
          <w:rStyle w:val="24"/>
          <w:rFonts w:cs="Times New Roman"/>
          <w:sz w:val="24"/>
        </w:rPr>
        <w:t>5.3.10  太阳能光伏发电系统</w:t>
      </w:r>
      <w:r>
        <w:rPr>
          <w:rFonts w:cs="Times New Roman"/>
        </w:rPr>
        <w:tab/>
      </w:r>
      <w:r>
        <w:rPr>
          <w:rFonts w:cs="Times New Roman"/>
        </w:rPr>
        <w:fldChar w:fldCharType="begin"/>
      </w:r>
      <w:r>
        <w:rPr>
          <w:rFonts w:cs="Times New Roman"/>
        </w:rPr>
        <w:instrText xml:space="preserve"> PAGEREF _Toc186533301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14:paraId="49989D12">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"_Toc186533302" </w:instrText>
      </w:r>
      <w:r>
        <w:fldChar w:fldCharType="separate"/>
      </w:r>
      <w:r>
        <w:rPr>
          <w:rStyle w:val="24"/>
          <w:rFonts w:cs="Times New Roman"/>
          <w:sz w:val="24"/>
        </w:rPr>
        <w:t>5.3.11  电气照明</w:t>
      </w:r>
      <w:r>
        <w:rPr>
          <w:rFonts w:cs="Times New Roman"/>
        </w:rPr>
        <w:tab/>
      </w:r>
      <w:r>
        <w:rPr>
          <w:rFonts w:cs="Times New Roman"/>
        </w:rPr>
        <w:fldChar w:fldCharType="begin"/>
      </w:r>
      <w:r>
        <w:rPr>
          <w:rFonts w:cs="Times New Roman"/>
        </w:rPr>
        <w:instrText xml:space="preserve"> PAGEREF _Toc186533302 \h </w:instrText>
      </w:r>
      <w:r>
        <w:rPr>
          <w:rFonts w:cs="Times New Roman"/>
        </w:rPr>
        <w:fldChar w:fldCharType="separate"/>
      </w:r>
      <w:r>
        <w:rPr>
          <w:rFonts w:cs="Times New Roman"/>
        </w:rPr>
        <w:t>49</w:t>
      </w:r>
      <w:r>
        <w:rPr>
          <w:rFonts w:cs="Times New Roman"/>
        </w:rPr>
        <w:fldChar w:fldCharType="end"/>
      </w:r>
      <w:r>
        <w:rPr>
          <w:rFonts w:cs="Times New Roman"/>
        </w:rPr>
        <w:fldChar w:fldCharType="end"/>
      </w:r>
    </w:p>
    <w:p w14:paraId="11393294">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"_Toc186533303" </w:instrText>
      </w:r>
      <w:r>
        <w:fldChar w:fldCharType="separate"/>
      </w:r>
      <w:r>
        <w:rPr>
          <w:rStyle w:val="24"/>
          <w:rFonts w:cs="Times New Roman"/>
          <w:sz w:val="24"/>
        </w:rPr>
        <w:t>5.3.12  高低压配电柜</w:t>
      </w:r>
      <w:r>
        <w:rPr>
          <w:rFonts w:cs="Times New Roman"/>
        </w:rPr>
        <w:tab/>
      </w:r>
      <w:r>
        <w:rPr>
          <w:rFonts w:cs="Times New Roman"/>
        </w:rPr>
        <w:fldChar w:fldCharType="begin"/>
      </w:r>
      <w:r>
        <w:rPr>
          <w:rFonts w:cs="Times New Roman"/>
        </w:rPr>
        <w:instrText xml:space="preserve"> PAGEREF _Toc186533303 \h </w:instrText>
      </w:r>
      <w:r>
        <w:rPr>
          <w:rFonts w:cs="Times New Roman"/>
        </w:rPr>
        <w:fldChar w:fldCharType="separate"/>
      </w:r>
      <w:r>
        <w:rPr>
          <w:rFonts w:cs="Times New Roman"/>
        </w:rPr>
        <w:t>50</w:t>
      </w:r>
      <w:r>
        <w:rPr>
          <w:rFonts w:cs="Times New Roman"/>
        </w:rPr>
        <w:fldChar w:fldCharType="end"/>
      </w:r>
      <w:r>
        <w:rPr>
          <w:rFonts w:cs="Times New Roman"/>
        </w:rPr>
        <w:fldChar w:fldCharType="end"/>
      </w:r>
    </w:p>
    <w:p w14:paraId="687C3B3E">
      <w:pPr>
        <w:pStyle w:val="10"/>
        <w:tabs>
          <w:tab w:val="right" w:leader="dot" w:pos="8154"/>
        </w:tabs>
        <w:spacing w:line="588" w:lineRule="atLeast"/>
        <w:ind w:left="1120" w:firstLine="560"/>
        <w:rPr>
          <w:rFonts w:cs="Times New Roman" w:eastAsiaTheme="minorEastAsia"/>
          <w:sz w:val="21"/>
        </w:rPr>
      </w:pPr>
      <w:r>
        <w:fldChar w:fldCharType="begin"/>
      </w:r>
      <w:r>
        <w:instrText xml:space="preserve"> HYPERLINK \l "_Toc186533304" </w:instrText>
      </w:r>
      <w:r>
        <w:fldChar w:fldCharType="separate"/>
      </w:r>
      <w:r>
        <w:rPr>
          <w:rStyle w:val="24"/>
          <w:rFonts w:cs="Times New Roman"/>
          <w:sz w:val="24"/>
        </w:rPr>
        <w:t>5.3.13  母线槽</w:t>
      </w:r>
      <w:r>
        <w:rPr>
          <w:rFonts w:cs="Times New Roman"/>
        </w:rPr>
        <w:tab/>
      </w:r>
      <w:r>
        <w:rPr>
          <w:rFonts w:cs="Times New Roman"/>
        </w:rPr>
        <w:fldChar w:fldCharType="begin"/>
      </w:r>
      <w:r>
        <w:rPr>
          <w:rFonts w:cs="Times New Roman"/>
        </w:rPr>
        <w:instrText xml:space="preserve"> PAGEREF _Toc186533304 \h </w:instrText>
      </w:r>
      <w:r>
        <w:rPr>
          <w:rFonts w:cs="Times New Roman"/>
        </w:rPr>
        <w:fldChar w:fldCharType="separate"/>
      </w:r>
      <w:r>
        <w:rPr>
          <w:rFonts w:cs="Times New Roman"/>
        </w:rPr>
        <w:t>50</w:t>
      </w:r>
      <w:r>
        <w:rPr>
          <w:rFonts w:cs="Times New Roman"/>
        </w:rPr>
        <w:fldChar w:fldCharType="end"/>
      </w:r>
      <w:r>
        <w:rPr>
          <w:rFonts w:cs="Times New Roman"/>
        </w:rPr>
        <w:fldChar w:fldCharType="end"/>
      </w:r>
    </w:p>
    <w:p w14:paraId="4BDF1EBE">
      <w:pPr>
        <w:pStyle w:val="16"/>
        <w:tabs>
          <w:tab w:val="right" w:leader="dot" w:pos="8154"/>
        </w:tabs>
        <w:spacing w:line="588" w:lineRule="atLeast"/>
        <w:ind w:firstLine="560"/>
        <w:rPr>
          <w:rFonts w:cs="Times New Roman" w:eastAsiaTheme="minorEastAsia"/>
          <w:sz w:val="21"/>
        </w:rPr>
      </w:pPr>
      <w:r>
        <w:fldChar w:fldCharType="begin"/>
      </w:r>
      <w:r>
        <w:instrText xml:space="preserve"> HYPERLINK \l "_Toc186533305" </w:instrText>
      </w:r>
      <w:r>
        <w:fldChar w:fldCharType="separate"/>
      </w:r>
      <w:r>
        <w:rPr>
          <w:rStyle w:val="24"/>
          <w:rFonts w:cs="Times New Roman"/>
        </w:rPr>
        <w:t>附录A</w:t>
      </w:r>
      <w:r>
        <w:rPr>
          <w:rFonts w:cs="Times New Roman"/>
        </w:rPr>
        <w:tab/>
      </w:r>
      <w:r>
        <w:rPr>
          <w:rFonts w:cs="Times New Roman"/>
        </w:rPr>
        <w:fldChar w:fldCharType="begin"/>
      </w:r>
      <w:r>
        <w:rPr>
          <w:rFonts w:cs="Times New Roman"/>
        </w:rPr>
        <w:instrText xml:space="preserve"> PAGEREF _Toc186533305 \h </w:instrText>
      </w:r>
      <w:r>
        <w:rPr>
          <w:rFonts w:cs="Times New Roman"/>
        </w:rPr>
        <w:fldChar w:fldCharType="separate"/>
      </w:r>
      <w:r>
        <w:rPr>
          <w:rFonts w:cs="Times New Roman"/>
        </w:rPr>
        <w:t>52</w:t>
      </w:r>
      <w:r>
        <w:rPr>
          <w:rFonts w:cs="Times New Roman"/>
        </w:rPr>
        <w:fldChar w:fldCharType="end"/>
      </w:r>
      <w:r>
        <w:rPr>
          <w:rFonts w:cs="Times New Roman"/>
        </w:rPr>
        <w:fldChar w:fldCharType="end"/>
      </w:r>
    </w:p>
    <w:p w14:paraId="7BB7D8E6">
      <w:pPr>
        <w:pStyle w:val="16"/>
        <w:tabs>
          <w:tab w:val="right" w:leader="dot" w:pos="8154"/>
        </w:tabs>
        <w:spacing w:line="588" w:lineRule="atLeast"/>
        <w:ind w:firstLine="560"/>
        <w:rPr>
          <w:rFonts w:cs="Times New Roman"/>
        </w:rPr>
        <w:sectPr>
          <w:pgSz w:w="11906" w:h="16838"/>
          <w:pgMar w:top="1701" w:right="1871" w:bottom="1701" w:left="1871" w:header="851" w:footer="992" w:gutter="0"/>
          <w:pgNumType w:start="1"/>
          <w:cols w:space="425" w:num="1"/>
          <w:docGrid w:type="lines" w:linePitch="312" w:charSpace="0"/>
        </w:sectPr>
      </w:pPr>
      <w:r>
        <w:fldChar w:fldCharType="begin"/>
      </w:r>
      <w:r>
        <w:instrText xml:space="preserve"> HYPERLINK \l "_Toc186533306" </w:instrText>
      </w:r>
      <w:r>
        <w:fldChar w:fldCharType="separate"/>
      </w:r>
      <w:r>
        <w:rPr>
          <w:rStyle w:val="24"/>
          <w:rFonts w:cs="Times New Roman"/>
        </w:rPr>
        <w:t>附录B</w:t>
      </w:r>
      <w:r>
        <w:rPr>
          <w:rFonts w:cs="Times New Roman"/>
        </w:rPr>
        <w:tab/>
      </w:r>
      <w:r>
        <w:rPr>
          <w:rFonts w:cs="Times New Roman"/>
        </w:rPr>
        <w:fldChar w:fldCharType="begin"/>
      </w:r>
      <w:r>
        <w:rPr>
          <w:rFonts w:cs="Times New Roman"/>
        </w:rPr>
        <w:instrText xml:space="preserve"> PAGEREF _Toc186533306 \h </w:instrText>
      </w:r>
      <w:r>
        <w:rPr>
          <w:rFonts w:cs="Times New Roman"/>
        </w:rPr>
        <w:fldChar w:fldCharType="separate"/>
      </w:r>
      <w:r>
        <w:rPr>
          <w:rFonts w:cs="Times New Roman"/>
        </w:rPr>
        <w:t>53</w:t>
      </w:r>
      <w:r>
        <w:rPr>
          <w:rFonts w:cs="Times New Roman"/>
        </w:rPr>
        <w:fldChar w:fldCharType="end"/>
      </w:r>
      <w:r>
        <w:rPr>
          <w:rFonts w:cs="Times New Roman"/>
        </w:rPr>
        <w:fldChar w:fldCharType="end"/>
      </w:r>
    </w:p>
    <w:p w14:paraId="47C60033">
      <w:pPr>
        <w:pStyle w:val="2"/>
        <w:spacing w:before="156" w:after="156" w:line="588" w:lineRule="exact"/>
        <w:rPr>
          <w:rFonts w:cs="Times New Roman" w:eastAsiaTheme="minorEastAsia"/>
          <w:color w:val="000000" w:themeColor="text1"/>
          <w:sz w:val="30"/>
          <w:szCs w:val="30"/>
          <w14:textFill>
            <w14:solidFill>
              <w14:schemeClr w14:val="tx1"/>
            </w14:solidFill>
          </w14:textFill>
        </w:rPr>
      </w:pPr>
      <w:r>
        <w:rPr>
          <w:rFonts w:cs="Times New Roman" w:eastAsiaTheme="minorEastAsia"/>
          <w:bCs w:val="0"/>
          <w:color w:val="000000" w:themeColor="text1"/>
          <w:szCs w:val="28"/>
          <w:lang w:val="zh-CN"/>
          <w14:textFill>
            <w14:solidFill>
              <w14:schemeClr w14:val="tx1"/>
            </w14:solidFill>
          </w14:textFill>
        </w:rPr>
        <w:fldChar w:fldCharType="end"/>
      </w:r>
      <w:bookmarkStart w:id="2" w:name="_Toc186533225"/>
      <w:bookmarkStart w:id="3" w:name="_Toc29337"/>
      <w:bookmarkStart w:id="4" w:name="_Toc5363"/>
      <w:bookmarkStart w:id="5" w:name="_Toc98250089"/>
      <w:r>
        <w:rPr>
          <w:rFonts w:cs="Times New Roman" w:eastAsiaTheme="minorEastAsia"/>
          <w:color w:val="000000" w:themeColor="text1"/>
          <w:sz w:val="30"/>
          <w:szCs w:val="30"/>
          <w14:textFill>
            <w14:solidFill>
              <w14:schemeClr w14:val="tx1"/>
            </w14:solidFill>
          </w14:textFill>
        </w:rPr>
        <w:t>1  总  则</w:t>
      </w:r>
      <w:bookmarkEnd w:id="2"/>
      <w:bookmarkEnd w:id="3"/>
      <w:bookmarkEnd w:id="4"/>
      <w:bookmarkEnd w:id="5"/>
    </w:p>
    <w:p w14:paraId="121D8DD1">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1.0.1</w:t>
      </w:r>
      <w:r>
        <w:rPr>
          <w:rFonts w:cs="Times New Roman" w:eastAsiaTheme="minorEastAsia"/>
          <w:color w:val="000000" w:themeColor="text1"/>
          <w:szCs w:val="28"/>
          <w14:textFill>
            <w14:solidFill>
              <w14:schemeClr w14:val="tx1"/>
            </w14:solidFill>
          </w14:textFill>
        </w:rPr>
        <w:t xml:space="preserve">  为积极推广绿色建筑和绿色建材，完善政府绿色采购政策体系，规范纳入政府采购支持绿色建材促进建筑品质提升政策实施范围项目的实施，制定《需求标准》。</w:t>
      </w:r>
    </w:p>
    <w:p w14:paraId="325BA6E5">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1.0.2</w:t>
      </w:r>
      <w:r>
        <w:rPr>
          <w:rFonts w:cs="Times New Roman" w:eastAsiaTheme="minorEastAsia"/>
          <w:color w:val="000000" w:themeColor="text1"/>
          <w:szCs w:val="28"/>
          <w14:textFill>
            <w14:solidFill>
              <w14:schemeClr w14:val="tx1"/>
            </w14:solidFill>
          </w14:textFill>
        </w:rPr>
        <w:t xml:space="preserve">  《需求标准》适用于医院、学校、办公楼、综合体、展览馆、会展中心、体育馆、保障性住房、旧城改造等政府采购工程项目。</w:t>
      </w:r>
    </w:p>
    <w:p w14:paraId="6E231F4A">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1.0.3</w:t>
      </w:r>
      <w:r>
        <w:rPr>
          <w:rFonts w:cs="Times New Roman" w:eastAsiaTheme="minorEastAsia"/>
          <w:color w:val="000000" w:themeColor="text1"/>
          <w:szCs w:val="28"/>
          <w14:textFill>
            <w14:solidFill>
              <w14:schemeClr w14:val="tx1"/>
            </w14:solidFill>
          </w14:textFill>
        </w:rPr>
        <w:t xml:space="preserve">  政府采购工程项目，应以推动城乡建设绿色发展为目标，着力建设安全、舒适、绿色、智慧好房子，遵循因地制宜的原则，选用性价比高的绿色建材。</w:t>
      </w:r>
    </w:p>
    <w:p w14:paraId="784F4DA9">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6" w:name="_Toc19370"/>
      <w:bookmarkStart w:id="7" w:name="_Toc98250093"/>
      <w:bookmarkStart w:id="8" w:name="_Toc17714"/>
      <w:bookmarkStart w:id="9" w:name="_Toc186533226"/>
      <w:r>
        <w:rPr>
          <w:rFonts w:cs="Times New Roman" w:eastAsiaTheme="minorEastAsia"/>
          <w:color w:val="000000" w:themeColor="text1"/>
          <w:sz w:val="30"/>
          <w:szCs w:val="30"/>
          <w14:textFill>
            <w14:solidFill>
              <w14:schemeClr w14:val="tx1"/>
            </w14:solidFill>
          </w14:textFill>
        </w:rPr>
        <w:t>2  基本规定</w:t>
      </w:r>
      <w:bookmarkEnd w:id="6"/>
      <w:bookmarkEnd w:id="7"/>
      <w:bookmarkEnd w:id="8"/>
      <w:bookmarkEnd w:id="9"/>
    </w:p>
    <w:p w14:paraId="60E2D923">
      <w:pPr>
        <w:widowControl/>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2.0.1</w:t>
      </w:r>
      <w:r>
        <w:rPr>
          <w:rFonts w:cs="Times New Roman" w:eastAsiaTheme="minorEastAsia"/>
          <w:bCs/>
          <w:color w:val="000000" w:themeColor="text1"/>
          <w:szCs w:val="28"/>
          <w14:textFill>
            <w14:solidFill>
              <w14:schemeClr w14:val="tx1"/>
            </w14:solidFill>
          </w14:textFill>
        </w:rPr>
        <w:t xml:space="preserve">  应</w:t>
      </w:r>
      <w:r>
        <w:rPr>
          <w:rFonts w:cs="Times New Roman" w:eastAsiaTheme="minorEastAsia"/>
          <w:color w:val="000000" w:themeColor="text1"/>
          <w:szCs w:val="28"/>
          <w14:textFill>
            <w14:solidFill>
              <w14:schemeClr w14:val="tx1"/>
            </w14:solidFill>
          </w14:textFill>
        </w:rPr>
        <w:t>在政府采购工程的项目立项、建筑设计、招标采购、工程施工、质量验收等关键环节，严格落实《需求标准》的指标要求。</w:t>
      </w:r>
    </w:p>
    <w:p w14:paraId="4BA90AF4">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2.0.2</w:t>
      </w:r>
      <w:r>
        <w:rPr>
          <w:rFonts w:cs="Times New Roman" w:eastAsiaTheme="minorEastAsia"/>
          <w:bCs/>
          <w:color w:val="000000" w:themeColor="text1"/>
          <w:szCs w:val="28"/>
          <w14:textFill>
            <w14:solidFill>
              <w14:schemeClr w14:val="tx1"/>
            </w14:solidFill>
          </w14:textFill>
        </w:rPr>
        <w:t xml:space="preserve">  政府采购</w:t>
      </w:r>
      <w:r>
        <w:rPr>
          <w:rFonts w:cs="Times New Roman" w:eastAsiaTheme="minorEastAsia"/>
          <w:color w:val="000000" w:themeColor="text1"/>
          <w:szCs w:val="28"/>
          <w14:textFill>
            <w14:solidFill>
              <w14:schemeClr w14:val="tx1"/>
            </w14:solidFill>
          </w14:textFill>
        </w:rPr>
        <w:t>绿色建材分为必选类和可选类，分类详见表1。政府采购工程项目选用绿色建材时，应满足下列要求：</w:t>
      </w:r>
    </w:p>
    <w:p w14:paraId="4AC06A11">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w:t>
      </w:r>
      <w:r>
        <w:rPr>
          <w:rFonts w:cs="Times New Roman" w:eastAsiaTheme="minorEastAsia"/>
          <w:color w:val="000000" w:themeColor="text1"/>
          <w:szCs w:val="28"/>
          <w14:textFill>
            <w14:solidFill>
              <w14:schemeClr w14:val="tx1"/>
            </w14:solidFill>
          </w14:textFill>
        </w:rPr>
        <w:t xml:space="preserve">  涉及必选类时，每一必选小类均应选用绿色建材；</w:t>
      </w:r>
    </w:p>
    <w:p w14:paraId="4B89D362">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2</w:t>
      </w:r>
      <w:r>
        <w:rPr>
          <w:rFonts w:cs="Times New Roman" w:eastAsiaTheme="minorEastAsia"/>
          <w:color w:val="000000" w:themeColor="text1"/>
          <w:szCs w:val="28"/>
          <w14:textFill>
            <w14:solidFill>
              <w14:schemeClr w14:val="tx1"/>
            </w14:solidFill>
          </w14:textFill>
        </w:rPr>
        <w:t xml:space="preserve">  涉及可选类时，绿色建材选用量应不低于建筑项目所涉及的建材小类的40%。</w:t>
      </w:r>
    </w:p>
    <w:p w14:paraId="32F0A668">
      <w:pPr>
        <w:spacing w:line="588" w:lineRule="exact"/>
        <w:ind w:firstLine="48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当某一绿色建材的使用比例不低于同一小类建材用量的80%时，视为该类建材选用了绿色建材，建材用量以产品对应的量纲计算，包括重量、体积或面积等，如：某建筑项目使用干混砌筑砂浆100t，其中绿色干混砌筑砂浆用量不低于80t（80%）时，即可认定为该建筑项目使用了绿色干混砌筑砂浆；第2款中绿色建材选用量按比例计算，如：某建筑项目在建材选用时，涉及可选类产品中的非烧结类砌体材料、刚性防水材料、防腐涂料等40个小类产品，按比例计算时，应至少选用16个（40%）小类绿色建材。</w:t>
      </w:r>
    </w:p>
    <w:p w14:paraId="1E32347A">
      <w:pPr>
        <w:spacing w:line="588" w:lineRule="exact"/>
        <w:ind w:firstLine="0" w:firstLineChars="0"/>
        <w:jc w:val="center"/>
        <w:rPr>
          <w:rFonts w:cs="Times New Roman" w:eastAsiaTheme="minorEastAsia"/>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  政府采购绿色建材产品目录</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6"/>
        <w:gridCol w:w="850"/>
        <w:gridCol w:w="2127"/>
        <w:gridCol w:w="4331"/>
      </w:tblGrid>
      <w:tr w14:paraId="7E7AD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 w:hRule="atLeast"/>
          <w:jc w:val="center"/>
        </w:trPr>
        <w:tc>
          <w:tcPr>
            <w:tcW w:w="1696" w:type="dxa"/>
            <w:gridSpan w:val="2"/>
            <w:vAlign w:val="center"/>
          </w:tcPr>
          <w:p w14:paraId="3C7615D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大类</w:t>
            </w:r>
          </w:p>
        </w:tc>
        <w:tc>
          <w:tcPr>
            <w:tcW w:w="2127" w:type="dxa"/>
            <w:vAlign w:val="center"/>
          </w:tcPr>
          <w:p w14:paraId="5336CEBE">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中类</w:t>
            </w:r>
          </w:p>
        </w:tc>
        <w:tc>
          <w:tcPr>
            <w:tcW w:w="4331" w:type="dxa"/>
            <w:vAlign w:val="center"/>
          </w:tcPr>
          <w:p w14:paraId="681E874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小类</w:t>
            </w:r>
          </w:p>
        </w:tc>
      </w:tr>
      <w:tr w14:paraId="4CDF8E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restart"/>
            <w:vAlign w:val="center"/>
          </w:tcPr>
          <w:p w14:paraId="3F6954B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主体和地基基础材料</w:t>
            </w:r>
          </w:p>
        </w:tc>
        <w:tc>
          <w:tcPr>
            <w:tcW w:w="2127" w:type="dxa"/>
            <w:vAlign w:val="center"/>
          </w:tcPr>
          <w:p w14:paraId="32F31DE6">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钢结构构件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c>
          <w:tcPr>
            <w:tcW w:w="4331" w:type="dxa"/>
            <w:vAlign w:val="center"/>
          </w:tcPr>
          <w:p w14:paraId="156859B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钢结构构件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r>
      <w:tr w14:paraId="1995C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1319A8A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1E1FA05F">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混凝土结构构件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c>
          <w:tcPr>
            <w:tcW w:w="4331" w:type="dxa"/>
            <w:vAlign w:val="center"/>
          </w:tcPr>
          <w:p w14:paraId="79CAD1C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混凝土结构构件</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vertAlign w:val="superscript"/>
                <w14:textFill>
                  <w14:solidFill>
                    <w14:schemeClr w14:val="tx1"/>
                  </w14:solidFill>
                </w14:textFill>
              </w:rPr>
              <w:t>a</w:t>
            </w:r>
          </w:p>
        </w:tc>
      </w:tr>
      <w:tr w14:paraId="693E3F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4ED51B5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00DAB6EC">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预拌混凝土</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14:paraId="350A88E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预拌混凝土</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14:paraId="4C4B37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568FC43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6F313DC1">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预拌砂浆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14:paraId="7C7CE159">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水泥基预拌砂浆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、石膏砂浆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、磷石膏抹灰砂浆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、磷石膏基自流平砂浆</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14:paraId="6CCFEA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7C245EC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0DFA6D89">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钢筋</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14:paraId="4849C32C">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热轧钢筋</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14:paraId="1936C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restart"/>
            <w:vAlign w:val="center"/>
          </w:tcPr>
          <w:p w14:paraId="28820AD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围护结构材料</w:t>
            </w:r>
          </w:p>
        </w:tc>
        <w:tc>
          <w:tcPr>
            <w:tcW w:w="2127" w:type="dxa"/>
            <w:vAlign w:val="center"/>
          </w:tcPr>
          <w:p w14:paraId="2662AE3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门窗</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14:paraId="149DF82C">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门窗</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、门窗配件及型材</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、中空玻璃</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14:paraId="2C27C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46789F7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30F77E34">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保温隔热材料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14:paraId="4BD50165">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岩棉制品</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、挤塑聚苯乙烯泡沫塑料制品（XPS）</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、模塑聚苯乙烯泡沫塑料制品（EPS）</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、玻璃棉</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、保温一体化装饰板</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14:paraId="19F5E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5A8B5F7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0C352A4D">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砌体材料</w:t>
            </w:r>
          </w:p>
        </w:tc>
        <w:tc>
          <w:tcPr>
            <w:tcW w:w="4331" w:type="dxa"/>
            <w:vAlign w:val="center"/>
          </w:tcPr>
          <w:p w14:paraId="6A1351D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烧结类砌体材料、非烧结类砌体材料、复合保温砌体材料</w:t>
            </w:r>
          </w:p>
        </w:tc>
      </w:tr>
      <w:tr w14:paraId="38CE5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587292D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60A3533A">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外墙板</w:t>
            </w:r>
          </w:p>
        </w:tc>
        <w:tc>
          <w:tcPr>
            <w:tcW w:w="4331" w:type="dxa"/>
            <w:vAlign w:val="center"/>
          </w:tcPr>
          <w:p w14:paraId="7165CC7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蒸压加气混凝土外墙板、建筑外墙用结构保温复合板、夹芯复合外墙板</w:t>
            </w:r>
          </w:p>
        </w:tc>
      </w:tr>
      <w:tr w14:paraId="792E36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4A25360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26F0C06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防水卷材</w:t>
            </w:r>
          </w:p>
        </w:tc>
        <w:tc>
          <w:tcPr>
            <w:tcW w:w="4331" w:type="dxa"/>
            <w:vAlign w:val="center"/>
          </w:tcPr>
          <w:p w14:paraId="6A11466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改性沥青防水卷材、高分子防水卷材</w:t>
            </w:r>
          </w:p>
        </w:tc>
      </w:tr>
      <w:tr w14:paraId="0F897D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306D113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4FCF80C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防水涂料</w:t>
            </w:r>
          </w:p>
        </w:tc>
        <w:tc>
          <w:tcPr>
            <w:tcW w:w="4331" w:type="dxa"/>
            <w:vAlign w:val="center"/>
          </w:tcPr>
          <w:p w14:paraId="7501B4D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水性防水涂料、高固含量型防水涂料</w:t>
            </w:r>
          </w:p>
        </w:tc>
      </w:tr>
      <w:tr w14:paraId="70AF6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102BFC2E">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22F57860">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防火涂料</w:t>
            </w:r>
          </w:p>
        </w:tc>
        <w:tc>
          <w:tcPr>
            <w:tcW w:w="4331" w:type="dxa"/>
            <w:vAlign w:val="center"/>
          </w:tcPr>
          <w:p w14:paraId="2849B37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钢结构防火涂料、饰面型防火涂料</w:t>
            </w:r>
          </w:p>
        </w:tc>
      </w:tr>
      <w:tr w14:paraId="36402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0683E5E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49803B18">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刚性防水材料</w:t>
            </w:r>
          </w:p>
        </w:tc>
        <w:tc>
          <w:tcPr>
            <w:tcW w:w="4331" w:type="dxa"/>
            <w:vAlign w:val="center"/>
          </w:tcPr>
          <w:p w14:paraId="2B2DA5C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刚性防水材料</w:t>
            </w:r>
          </w:p>
        </w:tc>
      </w:tr>
      <w:tr w14:paraId="5BE4EB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1AA1C9A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06D2EF3C">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防腐材料</w:t>
            </w:r>
          </w:p>
        </w:tc>
        <w:tc>
          <w:tcPr>
            <w:tcW w:w="4331" w:type="dxa"/>
            <w:vAlign w:val="center"/>
          </w:tcPr>
          <w:p w14:paraId="11D0B74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防腐涂料、防腐砂浆</w:t>
            </w:r>
          </w:p>
        </w:tc>
      </w:tr>
      <w:tr w14:paraId="04914B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5A2614A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0398B1BA">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硅酮密封胶</w:t>
            </w:r>
          </w:p>
        </w:tc>
        <w:tc>
          <w:tcPr>
            <w:tcW w:w="4331" w:type="dxa"/>
            <w:vAlign w:val="center"/>
          </w:tcPr>
          <w:p w14:paraId="203F889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建筑用硅酮结构密封胶、建筑用硅酮密封胶、中空玻璃用硅酮密封胶、中空玻璃用硅酮结构密封胶</w:t>
            </w:r>
          </w:p>
        </w:tc>
      </w:tr>
      <w:tr w14:paraId="0825C2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73BE9F5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7F1C0FE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其他密封胶</w:t>
            </w:r>
          </w:p>
        </w:tc>
        <w:tc>
          <w:tcPr>
            <w:tcW w:w="4331" w:type="dxa"/>
            <w:vAlign w:val="center"/>
          </w:tcPr>
          <w:p w14:paraId="2FEA4DF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中空玻璃用丁基热熔密封胶、建筑用聚氨酯密封胶、建筑用聚硫密封胶、建筑用硅烷封端聚醚密封胶</w:t>
            </w:r>
          </w:p>
        </w:tc>
      </w:tr>
      <w:tr w14:paraId="463D58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0B62F32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6D7C664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遮阳产品</w:t>
            </w:r>
          </w:p>
        </w:tc>
        <w:tc>
          <w:tcPr>
            <w:tcW w:w="4331" w:type="dxa"/>
            <w:vAlign w:val="center"/>
          </w:tcPr>
          <w:p w14:paraId="27B716A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建筑遮阳产品</w:t>
            </w:r>
          </w:p>
        </w:tc>
      </w:tr>
      <w:tr w14:paraId="2CF5B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2CD711A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018BA80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混凝土结构外防护材料</w:t>
            </w:r>
          </w:p>
        </w:tc>
        <w:tc>
          <w:tcPr>
            <w:tcW w:w="4331" w:type="dxa"/>
            <w:vAlign w:val="center"/>
          </w:tcPr>
          <w:p w14:paraId="0C54231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成膜型和渗透型有机类防护涂料及聚合物防护涂料（液料组分）、无机水性渗透结晶型材料、外涂型钢筋阻锈剂</w:t>
            </w:r>
          </w:p>
        </w:tc>
      </w:tr>
      <w:tr w14:paraId="1C124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7154670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2B1C11D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建筑结构加固胶</w:t>
            </w:r>
          </w:p>
        </w:tc>
        <w:tc>
          <w:tcPr>
            <w:tcW w:w="4331" w:type="dxa"/>
            <w:vAlign w:val="center"/>
          </w:tcPr>
          <w:p w14:paraId="5B894DD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粘贴钢材用结构胶（以混凝土为基材）、粘贴纤维复合材用结构胶（以混凝土为基材）、锚固用结构胶（以混凝土为基材）、粘贴钢加固件用结构胶（以钢为基材）、粘贴碳纤维复合材用结构胶（以钢为基材）、粘贴木材用结构胶（以木材为基材）、混凝土和砌体结构构件裂缝用压注胶、干挂石材幕墙用胶粘剂</w:t>
            </w:r>
          </w:p>
        </w:tc>
      </w:tr>
      <w:tr w14:paraId="728916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696" w:type="dxa"/>
            <w:gridSpan w:val="2"/>
            <w:vMerge w:val="continue"/>
            <w:vAlign w:val="center"/>
          </w:tcPr>
          <w:p w14:paraId="4034CF0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1596B30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工程修复材料</w:t>
            </w:r>
          </w:p>
        </w:tc>
        <w:tc>
          <w:tcPr>
            <w:tcW w:w="4331" w:type="dxa"/>
            <w:vAlign w:val="center"/>
          </w:tcPr>
          <w:p w14:paraId="6F9AEF4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水泥基修复材料、聚合物树脂基快速修补材料、聚合物灌浆料</w:t>
            </w:r>
          </w:p>
        </w:tc>
      </w:tr>
      <w:tr w14:paraId="182033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restart"/>
            <w:vAlign w:val="center"/>
          </w:tcPr>
          <w:p w14:paraId="579A74C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建筑装饰装修材料</w:t>
            </w:r>
          </w:p>
        </w:tc>
        <w:tc>
          <w:tcPr>
            <w:tcW w:w="850" w:type="dxa"/>
            <w:vMerge w:val="restart"/>
            <w:vAlign w:val="center"/>
          </w:tcPr>
          <w:p w14:paraId="7ECCFCA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隔墙隔断材料</w:t>
            </w:r>
          </w:p>
        </w:tc>
        <w:tc>
          <w:tcPr>
            <w:tcW w:w="2127" w:type="dxa"/>
            <w:vAlign w:val="center"/>
          </w:tcPr>
          <w:p w14:paraId="3AEA2B6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隔墙材料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14:paraId="4365E180">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隔墙条板</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、磷石膏空心砌块</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14:paraId="2F2042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0D0F39D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295AAEA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10AA4792">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纸面石膏板</w:t>
            </w:r>
          </w:p>
        </w:tc>
        <w:tc>
          <w:tcPr>
            <w:tcW w:w="4331" w:type="dxa"/>
            <w:vAlign w:val="center"/>
          </w:tcPr>
          <w:p w14:paraId="1FF78D0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纸面石膏板</w:t>
            </w:r>
          </w:p>
        </w:tc>
      </w:tr>
      <w:tr w14:paraId="16052E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2B70D4A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4E3FED3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1090D7FA">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吊顶材料</w:t>
            </w:r>
          </w:p>
        </w:tc>
        <w:tc>
          <w:tcPr>
            <w:tcW w:w="4331" w:type="dxa"/>
            <w:vAlign w:val="center"/>
          </w:tcPr>
          <w:p w14:paraId="77D3B1E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矿物棉装饰吸声板、集成吊顶</w:t>
            </w:r>
          </w:p>
        </w:tc>
      </w:tr>
      <w:tr w14:paraId="504779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6560DD8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23E832A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6B7643FE">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泡沫铝板</w:t>
            </w:r>
          </w:p>
        </w:tc>
        <w:tc>
          <w:tcPr>
            <w:tcW w:w="4331" w:type="dxa"/>
            <w:vAlign w:val="center"/>
          </w:tcPr>
          <w:p w14:paraId="2B461C2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泡沫铝板</w:t>
            </w:r>
          </w:p>
        </w:tc>
      </w:tr>
      <w:tr w14:paraId="53017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63D6740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52D7DFF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55D7A5A0">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其他</w:t>
            </w:r>
          </w:p>
        </w:tc>
        <w:tc>
          <w:tcPr>
            <w:tcW w:w="4331" w:type="dxa"/>
            <w:vAlign w:val="center"/>
          </w:tcPr>
          <w:p w14:paraId="15BA631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隔断材料</w:t>
            </w:r>
          </w:p>
        </w:tc>
      </w:tr>
      <w:tr w14:paraId="5EECA8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67045FF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14:paraId="6E0BFC7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墙面材料</w:t>
            </w:r>
          </w:p>
        </w:tc>
        <w:tc>
          <w:tcPr>
            <w:tcW w:w="2127" w:type="dxa"/>
            <w:vAlign w:val="center"/>
          </w:tcPr>
          <w:p w14:paraId="36494FD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涂料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c>
          <w:tcPr>
            <w:tcW w:w="4331" w:type="dxa"/>
            <w:vAlign w:val="center"/>
          </w:tcPr>
          <w:p w14:paraId="38B3B137">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b/>
                <w:color w:val="000000" w:themeColor="text1"/>
                <w:sz w:val="24"/>
                <w:szCs w:val="24"/>
                <w14:textFill>
                  <w14:solidFill>
                    <w14:schemeClr w14:val="tx1"/>
                  </w14:solidFill>
                </w14:textFill>
              </w:rPr>
              <w:t>水性墙面涂料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b/>
                <w:color w:val="000000" w:themeColor="text1"/>
                <w:sz w:val="24"/>
                <w:szCs w:val="24"/>
                <w14:textFill>
                  <w14:solidFill>
                    <w14:schemeClr w14:val="tx1"/>
                  </w14:solidFill>
                </w14:textFill>
              </w:rPr>
              <w:t>、无机干粉涂覆材料</w:t>
            </w:r>
            <w:r>
              <w:rPr>
                <w:rFonts w:ascii="Times New Roman" w:cs="Times New Roman" w:eastAsiaTheme="minorEastAsia"/>
                <w:b/>
                <w:color w:val="000000" w:themeColor="text1"/>
                <w:sz w:val="24"/>
                <w:szCs w:val="24"/>
                <w:vertAlign w:val="superscript"/>
                <w14:textFill>
                  <w14:solidFill>
                    <w14:schemeClr w14:val="tx1"/>
                  </w14:solidFill>
                </w14:textFill>
              </w:rPr>
              <w:sym w:font="Wingdings 2" w:char="F0E9"/>
            </w:r>
          </w:p>
        </w:tc>
      </w:tr>
      <w:tr w14:paraId="786951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0270574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584DF85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55F1428E">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墙面陶瓷砖（板）</w:t>
            </w:r>
          </w:p>
        </w:tc>
        <w:tc>
          <w:tcPr>
            <w:tcW w:w="4331" w:type="dxa"/>
            <w:vAlign w:val="center"/>
          </w:tcPr>
          <w:p w14:paraId="38DC79F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墙面陶瓷砖（板）</w:t>
            </w:r>
          </w:p>
        </w:tc>
      </w:tr>
      <w:tr w14:paraId="486321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7574C9F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1E00DFE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1590CAF1">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空气净化材料</w:t>
            </w:r>
          </w:p>
        </w:tc>
        <w:tc>
          <w:tcPr>
            <w:tcW w:w="4331" w:type="dxa"/>
            <w:vAlign w:val="center"/>
          </w:tcPr>
          <w:p w14:paraId="0D93F57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空气净化材料</w:t>
            </w:r>
          </w:p>
        </w:tc>
      </w:tr>
      <w:tr w14:paraId="7F7B92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108BA32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64A5246E">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72C29FD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反射隔热涂料</w:t>
            </w:r>
          </w:p>
        </w:tc>
        <w:tc>
          <w:tcPr>
            <w:tcW w:w="4331" w:type="dxa"/>
            <w:vAlign w:val="center"/>
          </w:tcPr>
          <w:p w14:paraId="7EC66B4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反射隔热涂料</w:t>
            </w:r>
          </w:p>
        </w:tc>
      </w:tr>
      <w:tr w14:paraId="42C7A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5CA6867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588AAA0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1ADC4C56">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壁纸壁布</w:t>
            </w:r>
          </w:p>
        </w:tc>
        <w:tc>
          <w:tcPr>
            <w:tcW w:w="4331" w:type="dxa"/>
            <w:vAlign w:val="center"/>
          </w:tcPr>
          <w:p w14:paraId="2D73128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壁纸、壁布</w:t>
            </w:r>
          </w:p>
        </w:tc>
      </w:tr>
      <w:tr w14:paraId="5B97BD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4A3F68A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4978DC4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7BBAF056">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石材</w:t>
            </w:r>
          </w:p>
        </w:tc>
        <w:tc>
          <w:tcPr>
            <w:tcW w:w="4331" w:type="dxa"/>
            <w:vAlign w:val="center"/>
          </w:tcPr>
          <w:p w14:paraId="1EF06D0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石材</w:t>
            </w:r>
          </w:p>
        </w:tc>
      </w:tr>
      <w:tr w14:paraId="34B7E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4EC8D19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6E4A590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27872B67">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镁质装饰材料</w:t>
            </w:r>
          </w:p>
        </w:tc>
        <w:tc>
          <w:tcPr>
            <w:tcW w:w="4331" w:type="dxa"/>
            <w:vAlign w:val="center"/>
          </w:tcPr>
          <w:p w14:paraId="484416D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建筑用菱镁装饰板</w:t>
            </w:r>
          </w:p>
        </w:tc>
      </w:tr>
      <w:tr w14:paraId="32E81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092692F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0662446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2A8FE8D0">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镀锌轻钢龙骨</w:t>
            </w:r>
          </w:p>
        </w:tc>
        <w:tc>
          <w:tcPr>
            <w:tcW w:w="4331" w:type="dxa"/>
            <w:vAlign w:val="center"/>
          </w:tcPr>
          <w:p w14:paraId="470487B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镀锌轻钢龙骨</w:t>
            </w:r>
          </w:p>
        </w:tc>
      </w:tr>
      <w:tr w14:paraId="5C99FA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508CE70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1B05DD6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1B32C87D">
            <w:pPr>
              <w:spacing w:line="240" w:lineRule="auto"/>
              <w:ind w:firstLine="0" w:firstLineChars="0"/>
              <w:jc w:val="center"/>
              <w:rPr>
                <w:rFonts w:ascii="Times New Roman" w:cs="Times New Roman" w:eastAsiaTheme="minorEastAsia"/>
                <w:b/>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重组材</w:t>
            </w:r>
          </w:p>
        </w:tc>
        <w:tc>
          <w:tcPr>
            <w:tcW w:w="4331" w:type="dxa"/>
            <w:vAlign w:val="center"/>
          </w:tcPr>
          <w:p w14:paraId="7DD6356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重组竹、重组木</w:t>
            </w:r>
          </w:p>
        </w:tc>
      </w:tr>
      <w:tr w14:paraId="3D330D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2E5ADCB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14:paraId="018612B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地面材料</w:t>
            </w:r>
          </w:p>
        </w:tc>
        <w:tc>
          <w:tcPr>
            <w:tcW w:w="2127" w:type="dxa"/>
            <w:vAlign w:val="center"/>
          </w:tcPr>
          <w:p w14:paraId="227B843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地面陶瓷砖（板）</w:t>
            </w:r>
          </w:p>
        </w:tc>
        <w:tc>
          <w:tcPr>
            <w:tcW w:w="4331" w:type="dxa"/>
            <w:vAlign w:val="center"/>
          </w:tcPr>
          <w:p w14:paraId="4DAB425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地面陶瓷砖（板）</w:t>
            </w:r>
          </w:p>
        </w:tc>
      </w:tr>
      <w:tr w14:paraId="4C9F0A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2B0BA96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3C6C1E2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7A36ABF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木地板</w:t>
            </w:r>
          </w:p>
        </w:tc>
        <w:tc>
          <w:tcPr>
            <w:tcW w:w="4331" w:type="dxa"/>
            <w:vAlign w:val="center"/>
          </w:tcPr>
          <w:p w14:paraId="30A94C6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木地板</w:t>
            </w:r>
          </w:p>
        </w:tc>
      </w:tr>
      <w:tr w14:paraId="054968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5BF4914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2699B29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343DCA3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竹集成材地板</w:t>
            </w:r>
          </w:p>
        </w:tc>
        <w:tc>
          <w:tcPr>
            <w:tcW w:w="4331" w:type="dxa"/>
            <w:vAlign w:val="center"/>
          </w:tcPr>
          <w:p w14:paraId="10EEE94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竹集成材地板</w:t>
            </w:r>
          </w:p>
        </w:tc>
      </w:tr>
      <w:tr w14:paraId="51F9D2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6613866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66C7893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70BBC24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竹材饰面木质地板</w:t>
            </w:r>
          </w:p>
        </w:tc>
        <w:tc>
          <w:tcPr>
            <w:tcW w:w="4331" w:type="dxa"/>
            <w:vAlign w:val="center"/>
          </w:tcPr>
          <w:p w14:paraId="34CFBE8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竹材饰面木质地板</w:t>
            </w:r>
          </w:p>
        </w:tc>
      </w:tr>
      <w:tr w14:paraId="7C26AF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1964CC0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0D96647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4833B4E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弹性地板</w:t>
            </w:r>
          </w:p>
        </w:tc>
        <w:tc>
          <w:tcPr>
            <w:tcW w:w="4331" w:type="dxa"/>
            <w:vAlign w:val="center"/>
          </w:tcPr>
          <w:p w14:paraId="33CE96E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聚氯乙烯类弹性地板、橡胶类弹性地板、软木类弹性地板</w:t>
            </w:r>
          </w:p>
        </w:tc>
      </w:tr>
      <w:tr w14:paraId="157F89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504C14F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52B0D63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4268FA7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透水铺装材料</w:t>
            </w:r>
          </w:p>
        </w:tc>
        <w:tc>
          <w:tcPr>
            <w:tcW w:w="4331" w:type="dxa"/>
            <w:vAlign w:val="center"/>
          </w:tcPr>
          <w:p w14:paraId="7E71C75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透水路面砖及透水路面板类材料、透水水泥混凝土类材料、透水沥青混合料类材料</w:t>
            </w:r>
          </w:p>
        </w:tc>
      </w:tr>
      <w:tr w14:paraId="0186F8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5342165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14:paraId="3A6113A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五金卫浴</w:t>
            </w:r>
          </w:p>
        </w:tc>
        <w:tc>
          <w:tcPr>
            <w:tcW w:w="2127" w:type="dxa"/>
            <w:vAlign w:val="center"/>
          </w:tcPr>
          <w:p w14:paraId="021E663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卫生洁具</w:t>
            </w:r>
          </w:p>
        </w:tc>
        <w:tc>
          <w:tcPr>
            <w:tcW w:w="4331" w:type="dxa"/>
            <w:vAlign w:val="center"/>
          </w:tcPr>
          <w:p w14:paraId="064FD17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便器、智能坐便器</w:t>
            </w:r>
          </w:p>
        </w:tc>
      </w:tr>
      <w:tr w14:paraId="20F9A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36860F1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25F1A73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7E3D71D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五金配件</w:t>
            </w:r>
          </w:p>
        </w:tc>
        <w:tc>
          <w:tcPr>
            <w:tcW w:w="4331" w:type="dxa"/>
            <w:vAlign w:val="center"/>
          </w:tcPr>
          <w:p w14:paraId="47FFD1C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水嘴</w:t>
            </w:r>
          </w:p>
        </w:tc>
      </w:tr>
      <w:tr w14:paraId="04115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6DA6CD8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Align w:val="center"/>
          </w:tcPr>
          <w:p w14:paraId="7612B44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其他</w:t>
            </w:r>
          </w:p>
        </w:tc>
        <w:tc>
          <w:tcPr>
            <w:tcW w:w="2127" w:type="dxa"/>
            <w:vAlign w:val="center"/>
          </w:tcPr>
          <w:p w14:paraId="01260E1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合成材料面层运动场地</w:t>
            </w:r>
          </w:p>
        </w:tc>
        <w:tc>
          <w:tcPr>
            <w:tcW w:w="4331" w:type="dxa"/>
            <w:vAlign w:val="center"/>
          </w:tcPr>
          <w:p w14:paraId="5F3B6E6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合成材料面层运动场地</w:t>
            </w:r>
          </w:p>
        </w:tc>
      </w:tr>
      <w:tr w14:paraId="47F8A1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restart"/>
            <w:vAlign w:val="center"/>
          </w:tcPr>
          <w:p w14:paraId="797BB80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设备设施</w:t>
            </w:r>
          </w:p>
        </w:tc>
        <w:tc>
          <w:tcPr>
            <w:tcW w:w="850" w:type="dxa"/>
            <w:vMerge w:val="restart"/>
            <w:vAlign w:val="center"/>
          </w:tcPr>
          <w:p w14:paraId="6EC0379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给水排水</w:t>
            </w:r>
          </w:p>
        </w:tc>
        <w:tc>
          <w:tcPr>
            <w:tcW w:w="2127" w:type="dxa"/>
            <w:vAlign w:val="center"/>
          </w:tcPr>
          <w:p w14:paraId="717C27E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管材管件</w:t>
            </w:r>
          </w:p>
        </w:tc>
        <w:tc>
          <w:tcPr>
            <w:tcW w:w="4331" w:type="dxa"/>
            <w:vAlign w:val="center"/>
          </w:tcPr>
          <w:p w14:paraId="44938BF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塑料管材管件、不锈钢管及管件、铜管及管件、铸铁管及管件、压接式涂覆碳钢管及管件</w:t>
            </w:r>
          </w:p>
        </w:tc>
      </w:tr>
      <w:tr w14:paraId="5BEEC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4472E59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3A043D8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2011E95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阀门</w:t>
            </w:r>
          </w:p>
        </w:tc>
        <w:tc>
          <w:tcPr>
            <w:tcW w:w="4331" w:type="dxa"/>
            <w:vAlign w:val="center"/>
          </w:tcPr>
          <w:p w14:paraId="7E14DCB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建筑用阀门</w:t>
            </w:r>
          </w:p>
        </w:tc>
      </w:tr>
      <w:tr w14:paraId="4F7FFB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03B5745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21DF104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44A9DA2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中水处理设备</w:t>
            </w:r>
          </w:p>
        </w:tc>
        <w:tc>
          <w:tcPr>
            <w:tcW w:w="4331" w:type="dxa"/>
            <w:vAlign w:val="center"/>
          </w:tcPr>
          <w:p w14:paraId="2819C4B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中水处理设备</w:t>
            </w:r>
          </w:p>
        </w:tc>
      </w:tr>
      <w:tr w14:paraId="01596A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06454FB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32B8B70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38892EA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净水设备</w:t>
            </w:r>
          </w:p>
        </w:tc>
        <w:tc>
          <w:tcPr>
            <w:tcW w:w="4331" w:type="dxa"/>
            <w:vAlign w:val="center"/>
          </w:tcPr>
          <w:p w14:paraId="01A6133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净水设备</w:t>
            </w:r>
          </w:p>
        </w:tc>
      </w:tr>
      <w:tr w14:paraId="6161FB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7B461AD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1A34721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6117F87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软化设备</w:t>
            </w:r>
          </w:p>
        </w:tc>
        <w:tc>
          <w:tcPr>
            <w:tcW w:w="4331" w:type="dxa"/>
            <w:vAlign w:val="center"/>
          </w:tcPr>
          <w:p w14:paraId="7BF1C48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软化设备</w:t>
            </w:r>
          </w:p>
        </w:tc>
      </w:tr>
      <w:tr w14:paraId="47540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352B852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628E0BD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68CA0B09">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雨水回收系统</w:t>
            </w:r>
          </w:p>
        </w:tc>
        <w:tc>
          <w:tcPr>
            <w:tcW w:w="4331" w:type="dxa"/>
            <w:vAlign w:val="center"/>
          </w:tcPr>
          <w:p w14:paraId="0775D6E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雨水处理设备</w:t>
            </w:r>
          </w:p>
        </w:tc>
      </w:tr>
      <w:tr w14:paraId="4BA61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49F9F88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04D72B96">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58C0D585">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二次供水设备</w:t>
            </w:r>
          </w:p>
        </w:tc>
        <w:tc>
          <w:tcPr>
            <w:tcW w:w="4331" w:type="dxa"/>
            <w:vAlign w:val="center"/>
          </w:tcPr>
          <w:p w14:paraId="1F6AA79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二次供水设备</w:t>
            </w:r>
          </w:p>
        </w:tc>
      </w:tr>
      <w:tr w14:paraId="2AFC9F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4318AAD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14:paraId="5C8F8CD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暖通空调</w:t>
            </w:r>
          </w:p>
        </w:tc>
        <w:tc>
          <w:tcPr>
            <w:tcW w:w="2127" w:type="dxa"/>
            <w:vAlign w:val="center"/>
          </w:tcPr>
          <w:p w14:paraId="06902B4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冷热源设备</w:t>
            </w:r>
          </w:p>
        </w:tc>
        <w:tc>
          <w:tcPr>
            <w:tcW w:w="4331" w:type="dxa"/>
            <w:vAlign w:val="center"/>
          </w:tcPr>
          <w:p w14:paraId="491D6B1C">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冷水机组、空气源热泵、地源热泵</w:t>
            </w:r>
          </w:p>
        </w:tc>
      </w:tr>
      <w:tr w14:paraId="034C9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607FB78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4EC0CF6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5DA5B992">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通风系统设备</w:t>
            </w:r>
          </w:p>
        </w:tc>
        <w:tc>
          <w:tcPr>
            <w:tcW w:w="4331" w:type="dxa"/>
            <w:vAlign w:val="center"/>
          </w:tcPr>
          <w:p w14:paraId="7715A6E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组合式空调机组、新风净化系统</w:t>
            </w:r>
          </w:p>
        </w:tc>
      </w:tr>
      <w:tr w14:paraId="049B6A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596B46A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restart"/>
            <w:vAlign w:val="center"/>
          </w:tcPr>
          <w:p w14:paraId="3667F17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建筑电气</w:t>
            </w:r>
          </w:p>
        </w:tc>
        <w:tc>
          <w:tcPr>
            <w:tcW w:w="2127" w:type="dxa"/>
            <w:vAlign w:val="center"/>
          </w:tcPr>
          <w:p w14:paraId="7E9425AB">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太阳能光伏发电系统</w:t>
            </w:r>
          </w:p>
        </w:tc>
        <w:tc>
          <w:tcPr>
            <w:tcW w:w="4331" w:type="dxa"/>
            <w:vAlign w:val="center"/>
          </w:tcPr>
          <w:p w14:paraId="457EE8E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太阳能光伏发电系统、太阳能光伏组件</w:t>
            </w:r>
          </w:p>
        </w:tc>
      </w:tr>
      <w:tr w14:paraId="3AF8B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30FC51C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24BEC1D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49F8E268">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电气照明</w:t>
            </w:r>
          </w:p>
        </w:tc>
        <w:tc>
          <w:tcPr>
            <w:tcW w:w="4331" w:type="dxa"/>
            <w:vAlign w:val="center"/>
          </w:tcPr>
          <w:p w14:paraId="10B6579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室内照明用LED产品、室外照明用LED投光灯</w:t>
            </w:r>
          </w:p>
        </w:tc>
      </w:tr>
      <w:tr w14:paraId="35F15E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503AF990">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76BAF707">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0CD7086D">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高低压配电柜</w:t>
            </w:r>
          </w:p>
        </w:tc>
        <w:tc>
          <w:tcPr>
            <w:tcW w:w="4331" w:type="dxa"/>
            <w:vAlign w:val="center"/>
          </w:tcPr>
          <w:p w14:paraId="73679A91">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高低压配电柜（板）</w:t>
            </w:r>
          </w:p>
        </w:tc>
      </w:tr>
      <w:tr w14:paraId="3C1EB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14:paraId="3FF4FB3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850" w:type="dxa"/>
            <w:vMerge w:val="continue"/>
            <w:vAlign w:val="center"/>
          </w:tcPr>
          <w:p w14:paraId="00D51B4A">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p>
        </w:tc>
        <w:tc>
          <w:tcPr>
            <w:tcW w:w="2127" w:type="dxa"/>
            <w:vAlign w:val="center"/>
          </w:tcPr>
          <w:p w14:paraId="730EA7C4">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母线槽</w:t>
            </w:r>
          </w:p>
        </w:tc>
        <w:tc>
          <w:tcPr>
            <w:tcW w:w="4331" w:type="dxa"/>
            <w:vAlign w:val="center"/>
          </w:tcPr>
          <w:p w14:paraId="6861567E">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密集绝缘母线槽</w:t>
            </w:r>
          </w:p>
        </w:tc>
      </w:tr>
      <w:tr w14:paraId="0611A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54" w:type="dxa"/>
            <w:gridSpan w:val="4"/>
            <w:vAlign w:val="center"/>
          </w:tcPr>
          <w:p w14:paraId="675F3B47">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注：标注</w:t>
            </w:r>
            <w:r>
              <w:rPr>
                <w:rFonts w:ascii="Times New Roman" w:cs="Times New Roman" w:eastAsiaTheme="minorEastAsia"/>
                <w:color w:val="000000" w:themeColor="text1"/>
                <w:sz w:val="24"/>
                <w:szCs w:val="24"/>
                <w:vertAlign w:val="superscript"/>
                <w14:textFill>
                  <w14:solidFill>
                    <w14:schemeClr w14:val="tx1"/>
                  </w14:solidFill>
                </w14:textFill>
              </w:rPr>
              <w:sym w:font="Wingdings 2" w:char="F0E9"/>
            </w:r>
            <w:r>
              <w:rPr>
                <w:rFonts w:ascii="Times New Roman" w:cs="Times New Roman" w:eastAsiaTheme="minorEastAsia"/>
                <w:color w:val="000000" w:themeColor="text1"/>
                <w:sz w:val="24"/>
                <w:szCs w:val="24"/>
                <w14:textFill>
                  <w14:solidFill>
                    <w14:schemeClr w14:val="tx1"/>
                  </w14:solidFill>
                </w14:textFill>
              </w:rPr>
              <w:t>的产品为必选类绿色建材；</w:t>
            </w:r>
          </w:p>
          <w:p w14:paraId="5BB2D5C0">
            <w:pPr>
              <w:spacing w:line="240" w:lineRule="auto"/>
              <w:ind w:firstLine="48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钢结构构件仅要求钢结构建筑必选，混凝土结构构件仅要求装配式混凝土结构建筑必选。</w:t>
            </w:r>
          </w:p>
        </w:tc>
      </w:tr>
    </w:tbl>
    <w:p w14:paraId="2FE5CCBA">
      <w:pPr>
        <w:widowControl/>
        <w:spacing w:line="588" w:lineRule="exact"/>
        <w:ind w:firstLine="0" w:firstLineChars="0"/>
        <w:jc w:val="left"/>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2.0.3</w:t>
      </w:r>
      <w:r>
        <w:rPr>
          <w:rFonts w:cs="Times New Roman" w:eastAsiaTheme="minorEastAsia"/>
          <w:bCs/>
          <w:color w:val="000000" w:themeColor="text1"/>
          <w:szCs w:val="28"/>
          <w14:textFill>
            <w14:solidFill>
              <w14:schemeClr w14:val="tx1"/>
            </w14:solidFill>
          </w14:textFill>
        </w:rPr>
        <w:t xml:space="preserve">  </w:t>
      </w:r>
      <w:r>
        <w:rPr>
          <w:rFonts w:cs="Times New Roman" w:eastAsiaTheme="minorEastAsia"/>
          <w:color w:val="000000" w:themeColor="text1"/>
          <w:szCs w:val="28"/>
          <w14:textFill>
            <w14:solidFill>
              <w14:schemeClr w14:val="tx1"/>
            </w14:solidFill>
          </w14:textFill>
        </w:rPr>
        <w:t>《需求标准》中涉及的产品、材料及设备除应符合《需求标准》技术指标外，还应符合现行国家法律法规、强制性标准及使用地的地方标准要求。</w:t>
      </w:r>
    </w:p>
    <w:p w14:paraId="532372A3">
      <w:pPr>
        <w:widowControl/>
        <w:spacing w:line="588" w:lineRule="exact"/>
        <w:ind w:firstLine="0" w:firstLineChars="0"/>
        <w:jc w:val="left"/>
        <w:rPr>
          <w:rFonts w:cs="Times New Roman" w:eastAsiaTheme="minorEastAsia"/>
          <w:color w:val="000000" w:themeColor="text1"/>
          <w:sz w:val="32"/>
          <w:szCs w:val="32"/>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2.0.4</w:t>
      </w:r>
      <w:r>
        <w:rPr>
          <w:rFonts w:cs="Times New Roman" w:eastAsiaTheme="minorEastAsia"/>
          <w:bCs/>
          <w:color w:val="000000" w:themeColor="text1"/>
          <w:szCs w:val="28"/>
          <w14:textFill>
            <w14:solidFill>
              <w14:schemeClr w14:val="tx1"/>
            </w14:solidFill>
          </w14:textFill>
        </w:rPr>
        <w:t xml:space="preserve">  </w:t>
      </w:r>
      <w:r>
        <w:rPr>
          <w:rFonts w:cs="Times New Roman" w:eastAsiaTheme="minorEastAsia"/>
          <w:color w:val="000000" w:themeColor="text1"/>
          <w:szCs w:val="28"/>
          <w14:textFill>
            <w14:solidFill>
              <w14:schemeClr w14:val="tx1"/>
            </w14:solidFill>
          </w14:textFill>
        </w:rPr>
        <w:t>不得使用附录A中规定的禁止使用的产品</w:t>
      </w:r>
      <w:r>
        <w:rPr>
          <w:rFonts w:cs="Times New Roman" w:eastAsiaTheme="minorEastAsia"/>
          <w:color w:val="000000" w:themeColor="text1"/>
          <w:sz w:val="32"/>
          <w:szCs w:val="32"/>
          <w14:textFill>
            <w14:solidFill>
              <w14:schemeClr w14:val="tx1"/>
            </w14:solidFill>
          </w14:textFill>
        </w:rPr>
        <w:t>。</w:t>
      </w:r>
    </w:p>
    <w:p w14:paraId="455ACC74">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10" w:name="_Toc186533227"/>
      <w:bookmarkStart w:id="11" w:name="_Toc98250094"/>
      <w:r>
        <w:rPr>
          <w:rFonts w:cs="Times New Roman" w:eastAsiaTheme="minorEastAsia"/>
          <w:color w:val="000000" w:themeColor="text1"/>
          <w:sz w:val="30"/>
          <w:szCs w:val="30"/>
          <w14:textFill>
            <w14:solidFill>
              <w14:schemeClr w14:val="tx1"/>
            </w14:solidFill>
          </w14:textFill>
        </w:rPr>
        <w:t>3  建筑品质提升要求</w:t>
      </w:r>
      <w:bookmarkEnd w:id="10"/>
      <w:bookmarkEnd w:id="11"/>
    </w:p>
    <w:p w14:paraId="2997BF95">
      <w:pPr>
        <w:pStyle w:val="3"/>
        <w:numPr>
          <w:ilvl w:val="1"/>
          <w:numId w:val="0"/>
        </w:numPr>
        <w:spacing w:line="588" w:lineRule="exact"/>
        <w:rPr>
          <w:rFonts w:cs="Times New Roman"/>
          <w:color w:val="000000" w:themeColor="text1"/>
          <w14:textFill>
            <w14:solidFill>
              <w14:schemeClr w14:val="tx1"/>
            </w14:solidFill>
          </w14:textFill>
        </w:rPr>
      </w:pPr>
      <w:bookmarkStart w:id="12" w:name="_Toc186533228"/>
      <w:bookmarkStart w:id="13" w:name="_Toc98250095"/>
      <w:r>
        <w:rPr>
          <w:rFonts w:cs="Times New Roman"/>
          <w:color w:val="000000" w:themeColor="text1"/>
          <w14:textFill>
            <w14:solidFill>
              <w14:schemeClr w14:val="tx1"/>
            </w14:solidFill>
          </w14:textFill>
        </w:rPr>
        <w:t>3.1  一般要求</w:t>
      </w:r>
      <w:bookmarkEnd w:id="12"/>
      <w:bookmarkEnd w:id="13"/>
    </w:p>
    <w:p w14:paraId="2EC35253">
      <w:pPr>
        <w:widowControl/>
        <w:spacing w:line="588" w:lineRule="exact"/>
        <w:ind w:firstLine="0" w:firstLineChars="0"/>
        <w:jc w:val="left"/>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3.1.1</w:t>
      </w:r>
      <w:r>
        <w:rPr>
          <w:rFonts w:cs="Times New Roman" w:eastAsiaTheme="minorEastAsia"/>
          <w:color w:val="000000" w:themeColor="text1"/>
          <w:szCs w:val="28"/>
          <w14:textFill>
            <w14:solidFill>
              <w14:schemeClr w14:val="tx1"/>
            </w14:solidFill>
          </w14:textFill>
        </w:rPr>
        <w:t xml:space="preserve">  政府采购工程项目应达到《绿色建筑评价标准》GB/T 50378的要求。</w:t>
      </w:r>
    </w:p>
    <w:p w14:paraId="3360E98C">
      <w:pPr>
        <w:spacing w:line="588" w:lineRule="exact"/>
        <w:ind w:firstLine="0" w:firstLineChars="0"/>
        <w:rPr>
          <w:rFonts w:cs="Times New Roman" w:eastAsiaTheme="minorEastAsia"/>
          <w:b/>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3.1.2</w:t>
      </w:r>
      <w:r>
        <w:rPr>
          <w:rFonts w:cs="Times New Roman" w:eastAsiaTheme="minorEastAsia"/>
          <w:color w:val="000000" w:themeColor="text1"/>
          <w:szCs w:val="28"/>
          <w14:textFill>
            <w14:solidFill>
              <w14:schemeClr w14:val="tx1"/>
            </w14:solidFill>
          </w14:textFill>
        </w:rPr>
        <w:t xml:space="preserve">  宜通过集成应用绿色建材提升建筑的耐久性，并满足下列要求：</w:t>
      </w:r>
    </w:p>
    <w:p w14:paraId="40E369D8">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w:t>
      </w:r>
      <w:r>
        <w:rPr>
          <w:rFonts w:cs="Times New Roman" w:eastAsiaTheme="minorEastAsia"/>
          <w:color w:val="000000" w:themeColor="text1"/>
          <w:szCs w:val="28"/>
          <w14:textFill>
            <w14:solidFill>
              <w14:schemeClr w14:val="tx1"/>
            </w14:solidFill>
          </w14:textFill>
        </w:rPr>
        <w:t xml:space="preserve">  提升建筑适变性：建筑结构与建筑设备管线分离；</w:t>
      </w:r>
    </w:p>
    <w:p w14:paraId="5AC08A21">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2</w:t>
      </w:r>
      <w:r>
        <w:rPr>
          <w:rFonts w:cs="Times New Roman" w:eastAsiaTheme="minorEastAsia"/>
          <w:color w:val="000000" w:themeColor="text1"/>
          <w:szCs w:val="28"/>
          <w14:textFill>
            <w14:solidFill>
              <w14:schemeClr w14:val="tx1"/>
            </w14:solidFill>
          </w14:textFill>
        </w:rPr>
        <w:t xml:space="preserve">  提升建筑部品部件耐久性：使用耐腐蚀、抗老化、耐久性能好的管材、管线、管件，活动配件选用长寿命产品，并考虑部品组合的同寿命性；不同使用寿命的部品组合时，采用便于分别拆换、更新和升级的构造；</w:t>
      </w:r>
    </w:p>
    <w:p w14:paraId="3D961D5A">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w:t>
      </w:r>
      <w:r>
        <w:rPr>
          <w:rFonts w:cs="Times New Roman" w:eastAsiaTheme="minorEastAsia"/>
          <w:color w:val="000000" w:themeColor="text1"/>
          <w:szCs w:val="28"/>
          <w14:textFill>
            <w14:solidFill>
              <w14:schemeClr w14:val="tx1"/>
            </w14:solidFill>
          </w14:textFill>
        </w:rPr>
        <w:t xml:space="preserve">  提高建筑结构材料的耐久性：按100年进行耐久性设计；</w:t>
      </w:r>
    </w:p>
    <w:p w14:paraId="25F9BF54">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4</w:t>
      </w:r>
      <w:r>
        <w:rPr>
          <w:rFonts w:cs="Times New Roman" w:eastAsiaTheme="minorEastAsia"/>
          <w:color w:val="000000" w:themeColor="text1"/>
          <w:szCs w:val="28"/>
          <w14:textFill>
            <w14:solidFill>
              <w14:schemeClr w14:val="tx1"/>
            </w14:solidFill>
          </w14:textFill>
        </w:rPr>
        <w:t xml:space="preserve">  合理采用耐久性好、易维护的装饰装修建筑材料：采用耐久性好、易维护的室内装饰装修材料。</w:t>
      </w:r>
    </w:p>
    <w:p w14:paraId="04D80509">
      <w:pPr>
        <w:spacing w:line="588" w:lineRule="exact"/>
        <w:ind w:firstLine="600" w:firstLineChars="0"/>
        <w:rPr>
          <w:rFonts w:cs="Times New Roman" w:eastAsiaTheme="minorEastAsia"/>
          <w:color w:val="000000" w:themeColor="text1"/>
          <w:sz w:val="24"/>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注：部分常见的耐腐蚀、抗老化、耐久性能好的部品部件及要求详见表2。</w:t>
      </w:r>
    </w:p>
    <w:p w14:paraId="4246C992">
      <w:pPr>
        <w:spacing w:line="588" w:lineRule="exact"/>
        <w:ind w:firstLine="420"/>
        <w:jc w:val="center"/>
        <w:rPr>
          <w:rFonts w:cs="Times New Roman" w:eastAsiaTheme="minorEastAsia"/>
          <w:color w:val="000000" w:themeColor="text1"/>
          <w:sz w:val="20"/>
          <w14:textFill>
            <w14:solidFill>
              <w14:schemeClr w14:val="tx1"/>
            </w14:solidFill>
          </w14:textFill>
        </w:rPr>
      </w:pPr>
      <w:r>
        <w:rPr>
          <w:rFonts w:eastAsia="黑体" w:cs="Times New Roman"/>
          <w:color w:val="000000" w:themeColor="text1"/>
          <w:sz w:val="21"/>
          <w:szCs w:val="21"/>
          <w14:textFill>
            <w14:solidFill>
              <w14:schemeClr w14:val="tx1"/>
            </w14:solidFill>
          </w14:textFill>
        </w:rPr>
        <w:t>表2  部分常见的耐腐蚀、抗老化、耐久性能好的部品部件及要求</w:t>
      </w:r>
    </w:p>
    <w:tbl>
      <w:tblPr>
        <w:tblStyle w:val="21"/>
        <w:tblW w:w="8199" w:type="dxa"/>
        <w:tblInd w:w="9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9"/>
        <w:gridCol w:w="6930"/>
      </w:tblGrid>
      <w:tr w14:paraId="29416B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Align w:val="center"/>
          </w:tcPr>
          <w:p w14:paraId="378F3FF5">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常见类型</w:t>
            </w:r>
          </w:p>
        </w:tc>
        <w:tc>
          <w:tcPr>
            <w:tcW w:w="6930" w:type="dxa"/>
            <w:vAlign w:val="center"/>
          </w:tcPr>
          <w:p w14:paraId="76C10771">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要求</w:t>
            </w:r>
          </w:p>
        </w:tc>
      </w:tr>
      <w:tr w14:paraId="011065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restart"/>
            <w:vAlign w:val="center"/>
          </w:tcPr>
          <w:p w14:paraId="6798A31A">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管材、管线、管件</w:t>
            </w:r>
          </w:p>
        </w:tc>
        <w:tc>
          <w:tcPr>
            <w:tcW w:w="6930" w:type="dxa"/>
            <w:vAlign w:val="center"/>
          </w:tcPr>
          <w:p w14:paraId="308DB78D">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室内给水系统采用铜管、不锈钢管、综合性能好的塑料管道（同时应符合现行国家标准《建筑给水排水设计标准》GB 50015对给水系统管材选用的规定）等。</w:t>
            </w:r>
          </w:p>
        </w:tc>
      </w:tr>
      <w:tr w14:paraId="59D98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continue"/>
            <w:vAlign w:val="center"/>
          </w:tcPr>
          <w:p w14:paraId="07D5890B">
            <w:pPr>
              <w:pStyle w:val="18"/>
              <w:jc w:val="center"/>
              <w:rPr>
                <w:rFonts w:ascii="Times New Roman" w:hAnsi="Times New Roman" w:cs="Times New Roman" w:eastAsiaTheme="minorEastAsia"/>
                <w:color w:val="000000" w:themeColor="text1"/>
                <w14:textFill>
                  <w14:solidFill>
                    <w14:schemeClr w14:val="tx1"/>
                  </w14:solidFill>
                </w14:textFill>
              </w:rPr>
            </w:pPr>
          </w:p>
        </w:tc>
        <w:tc>
          <w:tcPr>
            <w:tcW w:w="6930" w:type="dxa"/>
            <w:vAlign w:val="center"/>
          </w:tcPr>
          <w:p w14:paraId="1A0C7578">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电气系统采用低烟低毒阻燃型线缆、矿物绝缘类不燃性电缆等，且导体材料采用铜芯。</w:t>
            </w:r>
          </w:p>
        </w:tc>
      </w:tr>
      <w:tr w14:paraId="6D0BE1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restart"/>
            <w:vAlign w:val="center"/>
          </w:tcPr>
          <w:p w14:paraId="528289A1">
            <w:pPr>
              <w:pStyle w:val="18"/>
              <w:jc w:val="center"/>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活动配件</w:t>
            </w:r>
          </w:p>
        </w:tc>
        <w:tc>
          <w:tcPr>
            <w:tcW w:w="6930" w:type="dxa"/>
            <w:vAlign w:val="center"/>
          </w:tcPr>
          <w:p w14:paraId="6765D2EC">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门窗反复启闭性能达到现行国家标准《建筑幕墙、门窗通用技术条件》GB/T 31433、《建筑门窗五金件 通用要求》GB/T 32223等相应产品标准要求的2倍。</w:t>
            </w:r>
          </w:p>
        </w:tc>
      </w:tr>
      <w:tr w14:paraId="7FD21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continue"/>
            <w:vAlign w:val="center"/>
          </w:tcPr>
          <w:p w14:paraId="22D0643A">
            <w:pPr>
              <w:pStyle w:val="18"/>
              <w:jc w:val="center"/>
              <w:rPr>
                <w:rFonts w:ascii="Times New Roman" w:hAnsi="Times New Roman" w:cs="Times New Roman" w:eastAsiaTheme="minorEastAsia"/>
                <w:color w:val="000000" w:themeColor="text1"/>
                <w14:textFill>
                  <w14:solidFill>
                    <w14:schemeClr w14:val="tx1"/>
                  </w14:solidFill>
                </w14:textFill>
              </w:rPr>
            </w:pPr>
          </w:p>
        </w:tc>
        <w:tc>
          <w:tcPr>
            <w:tcW w:w="6930" w:type="dxa"/>
            <w:vAlign w:val="center"/>
          </w:tcPr>
          <w:p w14:paraId="44823623">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遮阳产品机械耐久性达到《建筑遮阳通用技术要求》JG/T 274等相应产品标准要求的最高级。</w:t>
            </w:r>
          </w:p>
        </w:tc>
      </w:tr>
      <w:tr w14:paraId="7F1EE7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69" w:type="dxa"/>
            <w:vMerge w:val="continue"/>
            <w:vAlign w:val="center"/>
          </w:tcPr>
          <w:p w14:paraId="4306D199">
            <w:pPr>
              <w:pStyle w:val="18"/>
              <w:jc w:val="center"/>
              <w:rPr>
                <w:rFonts w:ascii="Times New Roman" w:hAnsi="Times New Roman" w:cs="Times New Roman" w:eastAsiaTheme="minorEastAsia"/>
                <w:color w:val="000000" w:themeColor="text1"/>
                <w14:textFill>
                  <w14:solidFill>
                    <w14:schemeClr w14:val="tx1"/>
                  </w14:solidFill>
                </w14:textFill>
              </w:rPr>
            </w:pPr>
          </w:p>
        </w:tc>
        <w:tc>
          <w:tcPr>
            <w:tcW w:w="6930" w:type="dxa"/>
            <w:vAlign w:val="center"/>
          </w:tcPr>
          <w:p w14:paraId="17EFC466">
            <w:pPr>
              <w:pStyle w:val="18"/>
              <w:rPr>
                <w:rFonts w:ascii="Times New Roman" w:hAnsi="Times New Roman" w:cs="Times New Roman" w:eastAsiaTheme="minorEastAsia"/>
                <w:color w:val="000000" w:themeColor="text1"/>
                <w14:textFill>
                  <w14:solidFill>
                    <w14:schemeClr w14:val="tx1"/>
                  </w14:solidFill>
                </w14:textFill>
              </w:rPr>
            </w:pPr>
            <w:r>
              <w:rPr>
                <w:rFonts w:ascii="Times New Roman" w:hAnsi="Times New Roman" w:cs="Times New Roman" w:eastAsiaTheme="minorEastAsia"/>
                <w:color w:val="000000" w:themeColor="text1"/>
                <w14:textFill>
                  <w14:solidFill>
                    <w14:schemeClr w14:val="tx1"/>
                  </w14:solidFill>
                </w14:textFill>
              </w:rPr>
              <w:t>水嘴寿命达到《陶瓷片密封水嘴》GB 18145、《数控恒温水嘴》GB/T 24293等相应产品标准要求的1.3倍。</w:t>
            </w:r>
          </w:p>
        </w:tc>
      </w:tr>
    </w:tbl>
    <w:p w14:paraId="36AEF4BE">
      <w:pPr>
        <w:spacing w:line="588" w:lineRule="exact"/>
        <w:ind w:firstLine="0" w:firstLineChars="0"/>
        <w:rPr>
          <w:rFonts w:cs="Times New Roman" w:eastAsiaTheme="minorEastAsia"/>
          <w:b/>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 xml:space="preserve">3.1.3  </w:t>
      </w:r>
      <w:r>
        <w:rPr>
          <w:rFonts w:cs="Times New Roman" w:eastAsiaTheme="minorEastAsia"/>
          <w:color w:val="000000" w:themeColor="text1"/>
          <w:szCs w:val="28"/>
          <w14:textFill>
            <w14:solidFill>
              <w14:schemeClr w14:val="tx1"/>
            </w14:solidFill>
          </w14:textFill>
        </w:rPr>
        <w:t>宜通过集成应用绿色建材提升建筑的保温隔热性能，并满足下列要求：</w:t>
      </w:r>
    </w:p>
    <w:p w14:paraId="1B80296C">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1</w:t>
      </w:r>
      <w:r>
        <w:rPr>
          <w:rFonts w:cs="Times New Roman" w:eastAsiaTheme="minorEastAsia"/>
          <w:color w:val="000000" w:themeColor="text1"/>
          <w:szCs w:val="28"/>
          <w14:textFill>
            <w14:solidFill>
              <w14:schemeClr w14:val="tx1"/>
            </w14:solidFill>
          </w14:textFill>
        </w:rPr>
        <w:t xml:space="preserve">  围护结构热工性能提高比例不低于5%，或建筑供暖空调负荷降低比例不低于3%；</w:t>
      </w:r>
    </w:p>
    <w:p w14:paraId="68871688">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2</w:t>
      </w:r>
      <w:r>
        <w:rPr>
          <w:rFonts w:cs="Times New Roman" w:eastAsiaTheme="minorEastAsia"/>
          <w:color w:val="000000" w:themeColor="text1"/>
          <w:szCs w:val="28"/>
          <w14:textFill>
            <w14:solidFill>
              <w14:schemeClr w14:val="tx1"/>
            </w14:solidFill>
          </w14:textFill>
        </w:rPr>
        <w:t xml:space="preserve">  严寒和寒冷地区住宅建筑外窗传热系数降低比例不低于10%；</w:t>
      </w:r>
    </w:p>
    <w:p w14:paraId="523FB488">
      <w:pPr>
        <w:spacing w:line="588" w:lineRule="exact"/>
        <w:ind w:firstLine="562"/>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w:t>
      </w:r>
      <w:r>
        <w:rPr>
          <w:rFonts w:cs="Times New Roman" w:eastAsiaTheme="minorEastAsia"/>
          <w:color w:val="000000" w:themeColor="text1"/>
          <w:szCs w:val="28"/>
          <w14:textFill>
            <w14:solidFill>
              <w14:schemeClr w14:val="tx1"/>
            </w14:solidFill>
          </w14:textFill>
        </w:rPr>
        <w:t xml:space="preserve">  外窗气密性能符合国家现行相关节能设计标准的规定，且外窗洞口与外窗本体的结合部位应严密。</w:t>
      </w:r>
    </w:p>
    <w:p w14:paraId="1A1B1795">
      <w:pPr>
        <w:spacing w:line="588" w:lineRule="exact"/>
        <w:ind w:firstLine="48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注：围护结构热工性能的提高基准、严寒和寒冷地区住宅建筑外窗传热系数降低基准均为现行强制性工程建设规范《建筑节能与可再生能源利用通用规范》GB 55015的要求。</w:t>
      </w:r>
    </w:p>
    <w:p w14:paraId="2078F0BE">
      <w:pPr>
        <w:spacing w:line="588" w:lineRule="exact"/>
        <w:ind w:firstLine="0" w:firstLineChars="0"/>
        <w:rPr>
          <w:rFonts w:eastAsia="黑体" w:cs="Times New Roman"/>
          <w:color w:val="000000" w:themeColor="text1"/>
          <w:sz w:val="21"/>
          <w:szCs w:val="21"/>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3.1.4</w:t>
      </w:r>
      <w:r>
        <w:rPr>
          <w:rFonts w:cs="Times New Roman" w:eastAsiaTheme="minorEastAsia"/>
          <w:color w:val="000000" w:themeColor="text1"/>
          <w:szCs w:val="28"/>
          <w14:textFill>
            <w14:solidFill>
              <w14:schemeClr w14:val="tx1"/>
            </w14:solidFill>
          </w14:textFill>
        </w:rPr>
        <w:t xml:space="preserve">  新建政府采购工程项目的主要功能房间的隔声性能宜满足下表要求：</w:t>
      </w:r>
    </w:p>
    <w:p w14:paraId="41932EB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  主要功能房间隔声性能标准</w:t>
      </w:r>
    </w:p>
    <w:tbl>
      <w:tblPr>
        <w:tblStyle w:val="20"/>
        <w:tblW w:w="8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29"/>
        <w:gridCol w:w="1843"/>
        <w:gridCol w:w="1276"/>
        <w:gridCol w:w="3936"/>
      </w:tblGrid>
      <w:tr w14:paraId="068C6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Align w:val="center"/>
          </w:tcPr>
          <w:p w14:paraId="62434843">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建筑类型</w:t>
            </w:r>
          </w:p>
        </w:tc>
        <w:tc>
          <w:tcPr>
            <w:tcW w:w="3119" w:type="dxa"/>
            <w:gridSpan w:val="2"/>
            <w:shd w:val="clear" w:color="auto" w:fill="auto"/>
            <w:vAlign w:val="center"/>
          </w:tcPr>
          <w:p w14:paraId="19C2D074">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构件或房间名称</w:t>
            </w:r>
          </w:p>
        </w:tc>
        <w:tc>
          <w:tcPr>
            <w:tcW w:w="3936" w:type="dxa"/>
            <w:vAlign w:val="center"/>
          </w:tcPr>
          <w:p w14:paraId="30A4D0D5">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指标要求</w:t>
            </w:r>
          </w:p>
        </w:tc>
      </w:tr>
      <w:tr w14:paraId="4C266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restart"/>
            <w:vAlign w:val="center"/>
          </w:tcPr>
          <w:p w14:paraId="66E1BD53">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住宅建筑</w:t>
            </w:r>
          </w:p>
        </w:tc>
        <w:tc>
          <w:tcPr>
            <w:tcW w:w="3119" w:type="dxa"/>
            <w:gridSpan w:val="2"/>
            <w:shd w:val="clear" w:color="auto" w:fill="auto"/>
            <w:vAlign w:val="center"/>
          </w:tcPr>
          <w:p w14:paraId="79B5D397">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卧室含窗外墙</w:t>
            </w:r>
          </w:p>
        </w:tc>
        <w:tc>
          <w:tcPr>
            <w:tcW w:w="3936" w:type="dxa"/>
            <w:vAlign w:val="center"/>
          </w:tcPr>
          <w:p w14:paraId="7B01D2A2">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计权标准化声压级差与交通噪声频谱修正量之和D</w:t>
            </w:r>
            <w:r>
              <w:rPr>
                <w:rFonts w:cs="Times New Roman" w:eastAsiaTheme="minorEastAsia"/>
                <w:color w:val="000000" w:themeColor="text1"/>
                <w:sz w:val="24"/>
                <w:szCs w:val="24"/>
                <w:vertAlign w:val="subscript"/>
                <w14:textFill>
                  <w14:solidFill>
                    <w14:schemeClr w14:val="tx1"/>
                  </w14:solidFill>
                </w14:textFill>
              </w:rPr>
              <w:t>2m,nT,w</w:t>
            </w:r>
            <w:r>
              <w:rPr>
                <w:rFonts w:cs="Times New Roman" w:eastAsiaTheme="minorEastAsia"/>
                <w:color w:val="000000" w:themeColor="text1"/>
                <w:sz w:val="24"/>
                <w:szCs w:val="24"/>
                <w14:textFill>
                  <w14:solidFill>
                    <w14:schemeClr w14:val="tx1"/>
                  </w14:solidFill>
                </w14:textFill>
              </w:rPr>
              <w:t>+C</w:t>
            </w:r>
            <w:r>
              <w:rPr>
                <w:rFonts w:cs="Times New Roman" w:eastAsiaTheme="minorEastAsia"/>
                <w:color w:val="000000" w:themeColor="text1"/>
                <w:sz w:val="24"/>
                <w:szCs w:val="24"/>
                <w:vertAlign w:val="subscript"/>
                <w14:textFill>
                  <w14:solidFill>
                    <w14:schemeClr w14:val="tx1"/>
                  </w14:solidFill>
                </w14:textFill>
              </w:rPr>
              <w:t>tr</w:t>
            </w:r>
            <w:r>
              <w:rPr>
                <w:rFonts w:cs="Times New Roman" w:eastAsiaTheme="minorEastAsia"/>
                <w:color w:val="000000" w:themeColor="text1"/>
                <w:sz w:val="24"/>
                <w:szCs w:val="24"/>
                <w14:textFill>
                  <w14:solidFill>
                    <w14:schemeClr w14:val="tx1"/>
                  </w14:solidFill>
                </w14:textFill>
              </w:rPr>
              <w:t>≥35dB</w:t>
            </w:r>
          </w:p>
        </w:tc>
      </w:tr>
      <w:tr w14:paraId="7AC21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7" w:hRule="atLeast"/>
          <w:tblHeader/>
          <w:jc w:val="center"/>
        </w:trPr>
        <w:tc>
          <w:tcPr>
            <w:tcW w:w="1129" w:type="dxa"/>
            <w:vMerge w:val="continue"/>
            <w:vAlign w:val="center"/>
          </w:tcPr>
          <w:p w14:paraId="61EE9AB5">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restart"/>
            <w:shd w:val="clear" w:color="auto" w:fill="auto"/>
            <w:vAlign w:val="center"/>
          </w:tcPr>
          <w:p w14:paraId="6D3590ED">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相邻两户房间之间空气声隔声</w:t>
            </w:r>
          </w:p>
        </w:tc>
        <w:tc>
          <w:tcPr>
            <w:tcW w:w="1276" w:type="dxa"/>
            <w:shd w:val="clear" w:color="auto" w:fill="auto"/>
            <w:vAlign w:val="center"/>
          </w:tcPr>
          <w:p w14:paraId="3A98F2C0">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隔墙两侧房间之间</w:t>
            </w:r>
          </w:p>
        </w:tc>
        <w:tc>
          <w:tcPr>
            <w:tcW w:w="3936" w:type="dxa"/>
            <w:vMerge w:val="restart"/>
            <w:vAlign w:val="center"/>
          </w:tcPr>
          <w:p w14:paraId="70497705">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计权标准化声压级差与交通噪声频谱修正量之和D</w:t>
            </w:r>
            <w:r>
              <w:rPr>
                <w:rFonts w:cs="Times New Roman" w:eastAsiaTheme="minorEastAsia"/>
                <w:color w:val="000000" w:themeColor="text1"/>
                <w:sz w:val="24"/>
                <w:szCs w:val="24"/>
                <w:vertAlign w:val="subscript"/>
                <w14:textFill>
                  <w14:solidFill>
                    <w14:schemeClr w14:val="tx1"/>
                  </w14:solidFill>
                </w14:textFill>
              </w:rPr>
              <w:t>nT,w</w:t>
            </w:r>
            <w:r>
              <w:rPr>
                <w:rFonts w:cs="Times New Roman" w:eastAsiaTheme="minorEastAsia"/>
                <w:color w:val="000000" w:themeColor="text1"/>
                <w:sz w:val="24"/>
                <w:szCs w:val="24"/>
                <w14:textFill>
                  <w14:solidFill>
                    <w14:schemeClr w14:val="tx1"/>
                  </w14:solidFill>
                </w14:textFill>
              </w:rPr>
              <w:t>+C</w:t>
            </w:r>
            <w:r>
              <w:rPr>
                <w:rFonts w:cs="Times New Roman" w:eastAsiaTheme="minorEastAsia"/>
                <w:color w:val="000000" w:themeColor="text1"/>
                <w:sz w:val="24"/>
                <w:szCs w:val="24"/>
                <w:vertAlign w:val="subscript"/>
                <w14:textFill>
                  <w14:solidFill>
                    <w14:schemeClr w14:val="tx1"/>
                  </w14:solidFill>
                </w14:textFill>
              </w:rPr>
              <w:t>tr</w:t>
            </w:r>
            <w:r>
              <w:rPr>
                <w:rFonts w:cs="Times New Roman" w:eastAsiaTheme="minorEastAsia"/>
                <w:color w:val="000000" w:themeColor="text1"/>
                <w:sz w:val="24"/>
                <w:szCs w:val="24"/>
                <w14:textFill>
                  <w14:solidFill>
                    <w14:schemeClr w14:val="tx1"/>
                  </w14:solidFill>
                </w14:textFill>
              </w:rPr>
              <w:t>≥50dB（卧室与邻户房间之间）且计权标准化声压级差与粉红噪声频谱修正量之和D</w:t>
            </w:r>
            <w:r>
              <w:rPr>
                <w:rFonts w:cs="Times New Roman" w:eastAsiaTheme="minorEastAsia"/>
                <w:color w:val="000000" w:themeColor="text1"/>
                <w:sz w:val="24"/>
                <w:szCs w:val="24"/>
                <w:vertAlign w:val="subscript"/>
                <w14:textFill>
                  <w14:solidFill>
                    <w14:schemeClr w14:val="tx1"/>
                  </w14:solidFill>
                </w14:textFill>
              </w:rPr>
              <w:t>nT,w</w:t>
            </w:r>
            <w:r>
              <w:rPr>
                <w:rFonts w:cs="Times New Roman" w:eastAsiaTheme="minorEastAsia"/>
                <w:color w:val="000000" w:themeColor="text1"/>
                <w:sz w:val="24"/>
                <w:szCs w:val="24"/>
                <w14:textFill>
                  <w14:solidFill>
                    <w14:schemeClr w14:val="tx1"/>
                  </w14:solidFill>
                </w14:textFill>
              </w:rPr>
              <w:t>+C≥50dB（其他相邻两户房间之间）</w:t>
            </w:r>
          </w:p>
        </w:tc>
      </w:tr>
      <w:tr w14:paraId="61C20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14:paraId="59E298E0">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continue"/>
            <w:shd w:val="clear" w:color="auto" w:fill="auto"/>
            <w:vAlign w:val="center"/>
          </w:tcPr>
          <w:p w14:paraId="4B958C3F">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c>
          <w:tcPr>
            <w:tcW w:w="1276" w:type="dxa"/>
            <w:shd w:val="clear" w:color="auto" w:fill="auto"/>
            <w:vAlign w:val="center"/>
          </w:tcPr>
          <w:p w14:paraId="08C45569">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楼板上下房间之间</w:t>
            </w:r>
          </w:p>
        </w:tc>
        <w:tc>
          <w:tcPr>
            <w:tcW w:w="3936" w:type="dxa"/>
            <w:vMerge w:val="continue"/>
            <w:vAlign w:val="center"/>
          </w:tcPr>
          <w:p w14:paraId="1BC01F3B">
            <w:pPr>
              <w:spacing w:line="240" w:lineRule="auto"/>
              <w:ind w:firstLine="0" w:firstLineChars="0"/>
              <w:rPr>
                <w:rFonts w:cs="Times New Roman" w:eastAsiaTheme="minorEastAsia"/>
                <w:color w:val="000000" w:themeColor="text1"/>
                <w:sz w:val="24"/>
                <w:szCs w:val="24"/>
                <w14:textFill>
                  <w14:solidFill>
                    <w14:schemeClr w14:val="tx1"/>
                  </w14:solidFill>
                </w14:textFill>
              </w:rPr>
            </w:pPr>
          </w:p>
        </w:tc>
      </w:tr>
      <w:tr w14:paraId="68850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9" w:hRule="atLeast"/>
          <w:tblHeader/>
          <w:jc w:val="center"/>
        </w:trPr>
        <w:tc>
          <w:tcPr>
            <w:tcW w:w="1129" w:type="dxa"/>
            <w:vMerge w:val="restart"/>
            <w:vAlign w:val="center"/>
          </w:tcPr>
          <w:p w14:paraId="45572C97">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公共建筑</w:t>
            </w:r>
          </w:p>
          <w:p w14:paraId="3EB2A767">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3119" w:type="dxa"/>
            <w:gridSpan w:val="2"/>
            <w:shd w:val="clear" w:color="auto" w:fill="auto"/>
            <w:vAlign w:val="center"/>
          </w:tcPr>
          <w:p w14:paraId="57F80E4E">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外围护结构</w:t>
            </w:r>
          </w:p>
        </w:tc>
        <w:tc>
          <w:tcPr>
            <w:tcW w:w="3936" w:type="dxa"/>
            <w:vAlign w:val="center"/>
          </w:tcPr>
          <w:p w14:paraId="65BC361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计权标准化声压级差与交通噪声频谱修正量之和D</w:t>
            </w:r>
            <w:r>
              <w:rPr>
                <w:rFonts w:cs="Times New Roman" w:eastAsiaTheme="minorEastAsia"/>
                <w:color w:val="000000" w:themeColor="text1"/>
                <w:sz w:val="24"/>
                <w:szCs w:val="24"/>
                <w:vertAlign w:val="subscript"/>
                <w14:textFill>
                  <w14:solidFill>
                    <w14:schemeClr w14:val="tx1"/>
                  </w14:solidFill>
                </w14:textFill>
              </w:rPr>
              <w:t>2m,nT,w</w:t>
            </w:r>
            <w:r>
              <w:rPr>
                <w:rFonts w:cs="Times New Roman" w:eastAsiaTheme="minorEastAsia"/>
                <w:color w:val="000000" w:themeColor="text1"/>
                <w:sz w:val="24"/>
                <w:szCs w:val="24"/>
                <w14:textFill>
                  <w14:solidFill>
                    <w14:schemeClr w14:val="tx1"/>
                  </w14:solidFill>
                </w14:textFill>
              </w:rPr>
              <w:t>+C</w:t>
            </w:r>
            <w:r>
              <w:rPr>
                <w:rFonts w:cs="Times New Roman" w:eastAsiaTheme="minorEastAsia"/>
                <w:color w:val="000000" w:themeColor="text1"/>
                <w:sz w:val="24"/>
                <w:szCs w:val="24"/>
                <w:vertAlign w:val="subscript"/>
                <w14:textFill>
                  <w14:solidFill>
                    <w14:schemeClr w14:val="tx1"/>
                  </w14:solidFill>
                </w14:textFill>
              </w:rPr>
              <w:t>tr</w:t>
            </w:r>
            <w:r>
              <w:rPr>
                <w:rFonts w:cs="Times New Roman" w:eastAsiaTheme="minorEastAsia"/>
                <w:color w:val="000000" w:themeColor="text1"/>
                <w:sz w:val="24"/>
                <w:szCs w:val="24"/>
                <w14:textFill>
                  <w14:solidFill>
                    <w14:schemeClr w14:val="tx1"/>
                  </w14:solidFill>
                </w14:textFill>
              </w:rPr>
              <w:t>≥30dB</w:t>
            </w:r>
          </w:p>
        </w:tc>
      </w:tr>
      <w:tr w14:paraId="0AF16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14:paraId="5BD777CE">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restart"/>
            <w:shd w:val="clear" w:color="auto" w:fill="auto"/>
            <w:vAlign w:val="center"/>
          </w:tcPr>
          <w:p w14:paraId="363A72BF">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房间之间空气声隔声</w:t>
            </w:r>
          </w:p>
        </w:tc>
        <w:tc>
          <w:tcPr>
            <w:tcW w:w="1276" w:type="dxa"/>
            <w:shd w:val="clear" w:color="auto" w:fill="auto"/>
            <w:vAlign w:val="center"/>
          </w:tcPr>
          <w:p w14:paraId="677A49BC">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隔墙两侧房间之间</w:t>
            </w:r>
          </w:p>
        </w:tc>
        <w:tc>
          <w:tcPr>
            <w:tcW w:w="3936" w:type="dxa"/>
            <w:vMerge w:val="restart"/>
            <w:vAlign w:val="center"/>
          </w:tcPr>
          <w:p w14:paraId="71EFDFE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比国家民用建筑隔声设计标准规定限值高3dB及以上</w:t>
            </w:r>
          </w:p>
        </w:tc>
      </w:tr>
      <w:tr w14:paraId="06D39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14:paraId="19612716">
            <w:pPr>
              <w:spacing w:line="240" w:lineRule="auto"/>
              <w:ind w:firstLine="480"/>
              <w:jc w:val="center"/>
              <w:rPr>
                <w:rFonts w:cs="Times New Roman" w:eastAsiaTheme="minorEastAsia"/>
                <w:color w:val="000000" w:themeColor="text1"/>
                <w:sz w:val="24"/>
                <w:szCs w:val="24"/>
                <w14:textFill>
                  <w14:solidFill>
                    <w14:schemeClr w14:val="tx1"/>
                  </w14:solidFill>
                </w14:textFill>
              </w:rPr>
            </w:pPr>
          </w:p>
        </w:tc>
        <w:tc>
          <w:tcPr>
            <w:tcW w:w="1843" w:type="dxa"/>
            <w:vMerge w:val="continue"/>
            <w:shd w:val="clear" w:color="auto" w:fill="auto"/>
            <w:vAlign w:val="center"/>
          </w:tcPr>
          <w:p w14:paraId="0A629E63">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c>
          <w:tcPr>
            <w:tcW w:w="1276" w:type="dxa"/>
            <w:shd w:val="clear" w:color="auto" w:fill="auto"/>
            <w:vAlign w:val="center"/>
          </w:tcPr>
          <w:p w14:paraId="5D3470D7">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楼板两侧房间之间</w:t>
            </w:r>
          </w:p>
        </w:tc>
        <w:tc>
          <w:tcPr>
            <w:tcW w:w="3936" w:type="dxa"/>
            <w:vMerge w:val="continue"/>
            <w:vAlign w:val="center"/>
          </w:tcPr>
          <w:p w14:paraId="222419B5">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r>
      <w:tr w14:paraId="29F17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 w:hRule="atLeast"/>
          <w:tblHeader/>
          <w:jc w:val="center"/>
        </w:trPr>
        <w:tc>
          <w:tcPr>
            <w:tcW w:w="1129" w:type="dxa"/>
            <w:vMerge w:val="continue"/>
            <w:vAlign w:val="center"/>
          </w:tcPr>
          <w:p w14:paraId="6A279CD0">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p>
        </w:tc>
        <w:tc>
          <w:tcPr>
            <w:tcW w:w="3119" w:type="dxa"/>
            <w:gridSpan w:val="2"/>
            <w:shd w:val="clear" w:color="auto" w:fill="auto"/>
            <w:vAlign w:val="center"/>
          </w:tcPr>
          <w:p w14:paraId="0E0A8E48">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楼板撞击声隔声</w:t>
            </w:r>
          </w:p>
        </w:tc>
        <w:tc>
          <w:tcPr>
            <w:tcW w:w="3936" w:type="dxa"/>
            <w:vAlign w:val="center"/>
          </w:tcPr>
          <w:p w14:paraId="7F4B0CEB">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比国家民用建筑隔声设计标准规定限值低5dB及以上</w:t>
            </w:r>
          </w:p>
        </w:tc>
      </w:tr>
    </w:tbl>
    <w:p w14:paraId="593E05E8">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 xml:space="preserve">3.1.5  </w:t>
      </w:r>
      <w:r>
        <w:rPr>
          <w:rFonts w:cs="Times New Roman" w:eastAsiaTheme="minorEastAsia"/>
          <w:color w:val="000000" w:themeColor="text1"/>
          <w:szCs w:val="28"/>
          <w14:textFill>
            <w14:solidFill>
              <w14:schemeClr w14:val="tx1"/>
            </w14:solidFill>
          </w14:textFill>
        </w:rPr>
        <w:t>宜通过集成应用绿色建材提高建筑的室内空气质量，室内空气中的氨、甲醛、苯、总挥发性有机化合物等污染物浓度，与现行国家标准《室内空气质量标准》GB/T 18883规定限值相比，应降低10%以上。</w:t>
      </w:r>
    </w:p>
    <w:p w14:paraId="56A8E71F">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 xml:space="preserve">3.1.6  </w:t>
      </w:r>
      <w:r>
        <w:rPr>
          <w:rFonts w:cs="Times New Roman" w:eastAsiaTheme="minorEastAsia"/>
          <w:color w:val="000000" w:themeColor="text1"/>
          <w:szCs w:val="28"/>
          <w14:textFill>
            <w14:solidFill>
              <w14:schemeClr w14:val="tx1"/>
            </w14:solidFill>
          </w14:textFill>
        </w:rPr>
        <w:t>鼓励政府采购工程项目优先采用高效益、高质量、低消耗、低排放的新型建造方式。</w:t>
      </w:r>
    </w:p>
    <w:p w14:paraId="71A74846">
      <w:pPr>
        <w:spacing w:line="588" w:lineRule="exact"/>
        <w:ind w:firstLine="0" w:firstLineChars="0"/>
        <w:rPr>
          <w:rFonts w:cs="Times New Roman" w:eastAsiaTheme="minorEastAsia"/>
          <w:b/>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3.1.7</w:t>
      </w:r>
      <w:r>
        <w:rPr>
          <w:rFonts w:cs="Times New Roman" w:eastAsiaTheme="minorEastAsia"/>
          <w:color w:val="000000" w:themeColor="text1"/>
          <w:szCs w:val="28"/>
          <w14:textFill>
            <w14:solidFill>
              <w14:schemeClr w14:val="tx1"/>
            </w14:solidFill>
          </w14:textFill>
        </w:rPr>
        <w:t xml:space="preserve">  宜采用设计、采购、生产、施工一体化模式，实行装饰装修与主体结构、机电设备协同施工。</w:t>
      </w:r>
    </w:p>
    <w:p w14:paraId="1B71A47E">
      <w:pPr>
        <w:pStyle w:val="3"/>
        <w:numPr>
          <w:ilvl w:val="1"/>
          <w:numId w:val="0"/>
        </w:numPr>
        <w:spacing w:line="588" w:lineRule="exact"/>
        <w:rPr>
          <w:rFonts w:cs="Times New Roman"/>
          <w:color w:val="000000" w:themeColor="text1"/>
          <w14:textFill>
            <w14:solidFill>
              <w14:schemeClr w14:val="tx1"/>
            </w14:solidFill>
          </w14:textFill>
        </w:rPr>
      </w:pPr>
      <w:bookmarkStart w:id="14" w:name="_Toc186533229"/>
      <w:r>
        <w:rPr>
          <w:rFonts w:cs="Times New Roman"/>
          <w:color w:val="000000" w:themeColor="text1"/>
          <w14:textFill>
            <w14:solidFill>
              <w14:schemeClr w14:val="tx1"/>
            </w14:solidFill>
          </w14:textFill>
        </w:rPr>
        <w:t>3.2  部品部件要求</w:t>
      </w:r>
      <w:bookmarkEnd w:id="14"/>
    </w:p>
    <w:p w14:paraId="62163788">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 xml:space="preserve">3.2.1  </w:t>
      </w:r>
      <w:r>
        <w:rPr>
          <w:rFonts w:cs="Times New Roman" w:eastAsiaTheme="minorEastAsia"/>
          <w:color w:val="000000" w:themeColor="text1"/>
          <w:szCs w:val="28"/>
          <w14:textFill>
            <w14:solidFill>
              <w14:schemeClr w14:val="tx1"/>
            </w14:solidFill>
          </w14:textFill>
        </w:rPr>
        <w:t>装配式混凝土结构住宅常用预制构件的节点、接口尺寸宜符合《装配式混凝土结构住宅主要构件尺寸指南》的规定。</w:t>
      </w:r>
    </w:p>
    <w:p w14:paraId="62087F02">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 xml:space="preserve">3.2.2  </w:t>
      </w:r>
      <w:r>
        <w:rPr>
          <w:rFonts w:cs="Times New Roman" w:eastAsiaTheme="minorEastAsia"/>
          <w:color w:val="000000" w:themeColor="text1"/>
          <w:szCs w:val="28"/>
          <w14:textFill>
            <w14:solidFill>
              <w14:schemeClr w14:val="tx1"/>
            </w14:solidFill>
          </w14:textFill>
        </w:rPr>
        <w:t>装配式隔墙及墙面系统、装配式地面系统、装配式顶面系统、门窗、集成式厨房、装配式卫生间、整体收纳等部品部件及其接口尺寸宜符合《住宅装配化装修主要部品部件尺寸指南》的规定。</w:t>
      </w:r>
    </w:p>
    <w:p w14:paraId="5C525D33">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bCs/>
          <w:color w:val="000000" w:themeColor="text1"/>
          <w:szCs w:val="28"/>
          <w14:textFill>
            <w14:solidFill>
              <w14:schemeClr w14:val="tx1"/>
            </w14:solidFill>
          </w14:textFill>
        </w:rPr>
        <w:t xml:space="preserve">3.2.3  </w:t>
      </w:r>
      <w:r>
        <w:rPr>
          <w:rFonts w:cs="Times New Roman" w:eastAsiaTheme="minorEastAsia"/>
          <w:color w:val="000000" w:themeColor="text1"/>
          <w:szCs w:val="28"/>
          <w14:textFill>
            <w14:solidFill>
              <w14:schemeClr w14:val="tx1"/>
            </w14:solidFill>
          </w14:textFill>
        </w:rPr>
        <w:t>型钢产品的截面形式、尺寸和长度、连接节点宜符合《钢结构住宅主要构件尺寸指南》的规定。</w:t>
      </w:r>
    </w:p>
    <w:p w14:paraId="70CD21A5">
      <w:pPr>
        <w:pStyle w:val="3"/>
        <w:numPr>
          <w:ilvl w:val="1"/>
          <w:numId w:val="0"/>
        </w:numPr>
        <w:spacing w:line="588" w:lineRule="exact"/>
        <w:rPr>
          <w:rFonts w:cs="Times New Roman"/>
          <w:color w:val="000000" w:themeColor="text1"/>
          <w14:textFill>
            <w14:solidFill>
              <w14:schemeClr w14:val="tx1"/>
            </w14:solidFill>
          </w14:textFill>
        </w:rPr>
      </w:pPr>
      <w:bookmarkStart w:id="15" w:name="_Toc186533230"/>
      <w:r>
        <w:rPr>
          <w:rFonts w:cs="Times New Roman"/>
          <w:color w:val="000000" w:themeColor="text1"/>
          <w14:textFill>
            <w14:solidFill>
              <w14:schemeClr w14:val="tx1"/>
            </w14:solidFill>
          </w14:textFill>
        </w:rPr>
        <w:t>3.3  碳减排要求</w:t>
      </w:r>
      <w:bookmarkEnd w:id="15"/>
    </w:p>
    <w:p w14:paraId="10260F27">
      <w:pPr>
        <w:spacing w:line="588" w:lineRule="exact"/>
        <w:ind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b/>
          <w:color w:val="000000" w:themeColor="text1"/>
          <w:szCs w:val="28"/>
          <w14:textFill>
            <w14:solidFill>
              <w14:schemeClr w14:val="tx1"/>
            </w14:solidFill>
          </w14:textFill>
        </w:rPr>
        <w:t>3.3.1</w:t>
      </w:r>
      <w:r>
        <w:rPr>
          <w:rFonts w:cs="Times New Roman" w:eastAsiaTheme="minorEastAsia"/>
          <w:color w:val="000000" w:themeColor="text1"/>
          <w:szCs w:val="28"/>
          <w14:textFill>
            <w14:solidFill>
              <w14:schemeClr w14:val="tx1"/>
            </w14:solidFill>
          </w14:textFill>
        </w:rPr>
        <w:t xml:space="preserve">  宜对政府采购工程应用绿色建材的碳减排效益进行分析，鼓励绿色建材生产企业开展产品碳足迹自评价或第三方评价工作。</w:t>
      </w:r>
    </w:p>
    <w:p w14:paraId="00A2481D">
      <w:pPr>
        <w:spacing w:line="588" w:lineRule="exact"/>
        <w:ind w:firstLine="48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注：绿色建材的碳减排效益应从全生命周期角度进行分析；当产品的全生命周期内碳减排效益分析有困难时，分析边界应至少包括原材料生产及运输、产品生产、产品厂内运输三个阶段。</w:t>
      </w:r>
    </w:p>
    <w:p w14:paraId="61A8BB12">
      <w:pPr>
        <w:spacing w:line="588" w:lineRule="exact"/>
        <w:ind w:firstLine="0" w:firstLineChars="0"/>
        <w:rPr>
          <w:rFonts w:cs="Times New Roman" w:eastAsiaTheme="minorEastAsia"/>
          <w:color w:val="000000" w:themeColor="text1"/>
          <w14:textFill>
            <w14:solidFill>
              <w14:schemeClr w14:val="tx1"/>
            </w14:solidFill>
          </w14:textFill>
        </w:rPr>
      </w:pPr>
      <w:r>
        <w:rPr>
          <w:rFonts w:cs="Times New Roman" w:eastAsiaTheme="minorEastAsia"/>
          <w:b/>
          <w:color w:val="000000" w:themeColor="text1"/>
          <w14:textFill>
            <w14:solidFill>
              <w14:schemeClr w14:val="tx1"/>
            </w14:solidFill>
          </w14:textFill>
        </w:rPr>
        <w:t>3.3.2</w:t>
      </w:r>
      <w:r>
        <w:rPr>
          <w:rFonts w:cs="Times New Roman" w:eastAsiaTheme="minorEastAsia"/>
          <w:color w:val="000000" w:themeColor="text1"/>
          <w14:textFill>
            <w14:solidFill>
              <w14:schemeClr w14:val="tx1"/>
            </w14:solidFill>
          </w14:textFill>
        </w:rPr>
        <w:t xml:space="preserve">  在设计选材时宜考虑材料的可再循环和可再利用性能。在保证安全和不污染环境的情况下，可再循环材料和可再利用材料的使用重量占所用建筑材料总重量的10%以上。</w:t>
      </w:r>
    </w:p>
    <w:p w14:paraId="359432F8">
      <w:pPr>
        <w:spacing w:line="588" w:lineRule="exact"/>
        <w:ind w:firstLine="48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 w:val="24"/>
          <w:szCs w:val="28"/>
          <w14:textFill>
            <w14:solidFill>
              <w14:schemeClr w14:val="tx1"/>
            </w14:solidFill>
          </w14:textFill>
        </w:rPr>
        <w:t>注：本条可再循环材料和可再利用材料是指永久性安装在工程中的建筑材料，不包括电梯等设备。范围包括：在不改变材料的物质形态情况下直接进行再利用，或经过简单组合、修复后可直接再利用的建筑材料，如有些材质的门、窗等；通过改变物质形态实现循环利用的建筑材料，如难以直接回用的钢筋、玻璃等，可以回炉再生产；既可以直接再利用又可以回炉后再循环利用的建筑材料，如标准尺寸的钢结构型材等。</w:t>
      </w:r>
    </w:p>
    <w:p w14:paraId="711E233A">
      <w:pPr>
        <w:spacing w:line="588" w:lineRule="exact"/>
        <w:ind w:firstLine="0" w:firstLineChars="0"/>
        <w:rPr>
          <w:rFonts w:cs="Times New Roman" w:eastAsiaTheme="minorEastAsia"/>
          <w:color w:val="000000" w:themeColor="text1"/>
          <w14:textFill>
            <w14:solidFill>
              <w14:schemeClr w14:val="tx1"/>
            </w14:solidFill>
          </w14:textFill>
        </w:rPr>
      </w:pPr>
      <w:r>
        <w:rPr>
          <w:rFonts w:cs="Times New Roman" w:eastAsiaTheme="minorEastAsia"/>
          <w:b/>
          <w:color w:val="000000" w:themeColor="text1"/>
          <w14:textFill>
            <w14:solidFill>
              <w14:schemeClr w14:val="tx1"/>
            </w14:solidFill>
          </w14:textFill>
        </w:rPr>
        <w:t>3.3.3</w:t>
      </w:r>
      <w:r>
        <w:rPr>
          <w:rFonts w:cs="Times New Roman" w:eastAsiaTheme="minorEastAsia"/>
          <w:color w:val="000000" w:themeColor="text1"/>
          <w14:textFill>
            <w14:solidFill>
              <w14:schemeClr w14:val="tx1"/>
            </w14:solidFill>
          </w14:textFill>
        </w:rPr>
        <w:t xml:space="preserve">  距离施工现场500km以内的工厂生产的建筑材料重量应占建筑材料总重量的60%以上。</w:t>
      </w:r>
    </w:p>
    <w:p w14:paraId="7485EF83">
      <w:pPr>
        <w:spacing w:line="588" w:lineRule="exact"/>
        <w:ind w:firstLine="0" w:firstLineChars="0"/>
        <w:rPr>
          <w:rFonts w:cs="Times New Roman" w:eastAsiaTheme="minorEastAsia"/>
          <w:color w:val="000000" w:themeColor="text1"/>
          <w14:textFill>
            <w14:solidFill>
              <w14:schemeClr w14:val="tx1"/>
            </w14:solidFill>
          </w14:textFill>
        </w:rPr>
      </w:pPr>
      <w:r>
        <w:rPr>
          <w:rFonts w:cs="Times New Roman" w:eastAsiaTheme="minorEastAsia"/>
          <w:b/>
          <w:color w:val="000000" w:themeColor="text1"/>
          <w14:textFill>
            <w14:solidFill>
              <w14:schemeClr w14:val="tx1"/>
            </w14:solidFill>
          </w14:textFill>
        </w:rPr>
        <w:t>3.3.4</w:t>
      </w:r>
      <w:r>
        <w:rPr>
          <w:rFonts w:cs="Times New Roman" w:eastAsiaTheme="minorEastAsia"/>
          <w:color w:val="000000" w:themeColor="text1"/>
          <w14:textFill>
            <w14:solidFill>
              <w14:schemeClr w14:val="tx1"/>
            </w14:solidFill>
          </w14:textFill>
        </w:rPr>
        <w:t xml:space="preserve">  办公建筑屋顶总面积可安装光伏发电比例宜不低于50%；学校、医院等公共建筑屋顶总面积可安装光伏发电比例宜不低于40%。</w:t>
      </w:r>
    </w:p>
    <w:p w14:paraId="7A304B62">
      <w:pPr>
        <w:pStyle w:val="2"/>
        <w:spacing w:before="156" w:after="156" w:line="588" w:lineRule="exact"/>
        <w:rPr>
          <w:rFonts w:cs="Times New Roman"/>
        </w:rPr>
      </w:pPr>
      <w:bookmarkStart w:id="16" w:name="_Toc186533231"/>
      <w:bookmarkStart w:id="17" w:name="_Toc98250101"/>
      <w:r>
        <w:rPr>
          <w:rFonts w:cs="Times New Roman" w:eastAsiaTheme="minorEastAsia"/>
          <w:color w:val="000000" w:themeColor="text1"/>
          <w:sz w:val="30"/>
          <w:szCs w:val="30"/>
          <w14:textFill>
            <w14:solidFill>
              <w14:schemeClr w14:val="tx1"/>
            </w14:solidFill>
          </w14:textFill>
        </w:rPr>
        <w:t>4  必选类绿色建材要求</w:t>
      </w:r>
      <w:bookmarkEnd w:id="16"/>
    </w:p>
    <w:p w14:paraId="65AD8EF5">
      <w:pPr>
        <w:pStyle w:val="3"/>
        <w:numPr>
          <w:ilvl w:val="1"/>
          <w:numId w:val="0"/>
        </w:numPr>
        <w:spacing w:line="588" w:lineRule="exact"/>
        <w:ind w:left="142"/>
        <w:rPr>
          <w:rFonts w:cs="Times New Roman"/>
          <w:color w:val="000000" w:themeColor="text1"/>
          <w14:textFill>
            <w14:solidFill>
              <w14:schemeClr w14:val="tx1"/>
            </w14:solidFill>
          </w14:textFill>
        </w:rPr>
      </w:pPr>
      <w:bookmarkStart w:id="18" w:name="_Toc186533232"/>
      <w:r>
        <w:rPr>
          <w:rFonts w:cs="Times New Roman"/>
          <w:color w:val="000000" w:themeColor="text1"/>
          <w14:textFill>
            <w14:solidFill>
              <w14:schemeClr w14:val="tx1"/>
            </w14:solidFill>
          </w14:textFill>
        </w:rPr>
        <w:t>4.1  主体和地基基础材料</w:t>
      </w:r>
      <w:bookmarkEnd w:id="18"/>
    </w:p>
    <w:p w14:paraId="6499EA6D">
      <w:pPr>
        <w:pStyle w:val="4"/>
        <w:spacing w:line="588" w:lineRule="exact"/>
        <w:ind w:firstLine="0" w:firstLineChars="0"/>
        <w:rPr>
          <w:rFonts w:ascii="Times New Roman" w:hAnsi="Times New Roman" w:cs="Times New Roman" w:eastAsiaTheme="minorEastAsia"/>
          <w:color w:val="000000" w:themeColor="text1"/>
          <w:szCs w:val="28"/>
          <w14:textFill>
            <w14:solidFill>
              <w14:schemeClr w14:val="tx1"/>
            </w14:solidFill>
          </w14:textFill>
        </w:rPr>
      </w:pPr>
      <w:bookmarkStart w:id="19" w:name="_Toc186533233"/>
      <w:r>
        <w:rPr>
          <w:rFonts w:ascii="Times New Roman" w:hAnsi="Times New Roman" w:cs="Times New Roman" w:eastAsiaTheme="minorEastAsia"/>
          <w:color w:val="000000" w:themeColor="text1"/>
          <w:szCs w:val="28"/>
          <w14:textFill>
            <w14:solidFill>
              <w14:schemeClr w14:val="tx1"/>
            </w14:solidFill>
          </w14:textFill>
        </w:rPr>
        <w:t>4.1.1  钢结构构件</w:t>
      </w:r>
      <w:bookmarkEnd w:id="19"/>
    </w:p>
    <w:p w14:paraId="419C96DC">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主要材料（系统）：结构柱、结构梁、楼梯、支撑。</w:t>
      </w:r>
    </w:p>
    <w:p w14:paraId="5F4CB30E">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w:t>
      </w:r>
    </w:p>
    <w:p w14:paraId="07B6F79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w:t>
      </w:r>
    </w:p>
    <w:tbl>
      <w:tblPr>
        <w:tblStyle w:val="21"/>
        <w:tblW w:w="8222" w:type="dxa"/>
        <w:tblInd w:w="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2"/>
      </w:tblGrid>
      <w:tr w14:paraId="1C4BA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14:paraId="0D307BD9">
            <w:pPr>
              <w:spacing w:line="240" w:lineRule="auto"/>
              <w:ind w:firstLine="0" w:firstLineChars="0"/>
              <w:jc w:val="center"/>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14:paraId="328C3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14:paraId="4693B57B">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1.强度355MPa及以上钢材使用率≥50%</w:t>
            </w:r>
          </w:p>
          <w:p w14:paraId="789A4768">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2.螺栓连接等非现场焊接节点占现场全部连接、拼接节点的数量比例达到50％</w:t>
            </w:r>
          </w:p>
        </w:tc>
      </w:tr>
      <w:tr w14:paraId="51DD0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14:paraId="0C4491C5">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50017、GB/T 50378和GB/T 51232。</w:t>
            </w:r>
          </w:p>
        </w:tc>
      </w:tr>
    </w:tbl>
    <w:p w14:paraId="2C6E69F2">
      <w:pPr>
        <w:pStyle w:val="4"/>
        <w:spacing w:line="588" w:lineRule="exact"/>
        <w:ind w:firstLine="0" w:firstLineChars="0"/>
        <w:rPr>
          <w:rFonts w:ascii="Times New Roman" w:hAnsi="Times New Roman" w:cs="Times New Roman" w:eastAsiaTheme="minorEastAsia"/>
          <w:color w:val="000000" w:themeColor="text1"/>
          <w:szCs w:val="28"/>
          <w14:textFill>
            <w14:solidFill>
              <w14:schemeClr w14:val="tx1"/>
            </w14:solidFill>
          </w14:textFill>
        </w:rPr>
      </w:pPr>
      <w:bookmarkStart w:id="20" w:name="_Toc186533234"/>
      <w:r>
        <w:rPr>
          <w:rFonts w:ascii="Times New Roman" w:hAnsi="Times New Roman" w:cs="Times New Roman" w:eastAsiaTheme="minorEastAsia"/>
          <w:color w:val="000000" w:themeColor="text1"/>
          <w:szCs w:val="28"/>
          <w14:textFill>
            <w14:solidFill>
              <w14:schemeClr w14:val="tx1"/>
            </w14:solidFill>
          </w14:textFill>
        </w:rPr>
        <w:t>4.1.2  混凝土结构构件</w:t>
      </w:r>
      <w:bookmarkEnd w:id="20"/>
    </w:p>
    <w:p w14:paraId="771181E0">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主要材料（系统）：混凝土墙、板、梁、柱、楼梯。</w:t>
      </w:r>
    </w:p>
    <w:p w14:paraId="28A313FA">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材料性能要求见表5：</w:t>
      </w:r>
    </w:p>
    <w:p w14:paraId="46B73296">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w:t>
      </w:r>
    </w:p>
    <w:tbl>
      <w:tblPr>
        <w:tblStyle w:val="21"/>
        <w:tblW w:w="8222" w:type="dxa"/>
        <w:tblInd w:w="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2"/>
      </w:tblGrid>
      <w:tr w14:paraId="24921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14:paraId="514955D5">
            <w:pPr>
              <w:spacing w:line="240" w:lineRule="auto"/>
              <w:ind w:firstLine="0" w:firstLineChars="0"/>
              <w:jc w:val="center"/>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14:paraId="4D714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14:paraId="3AB9828D">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1.产品力学性能评定指标：连续6个批次均＜1.4，且≥1.0</w:t>
            </w:r>
          </w:p>
          <w:p w14:paraId="7CBF1665">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2.外观质量无一般缺陷（按产品标准检测）</w:t>
            </w:r>
          </w:p>
        </w:tc>
      </w:tr>
      <w:tr w14:paraId="2FE44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22" w:type="dxa"/>
            <w:shd w:val="clear" w:color="auto" w:fill="auto"/>
            <w:vAlign w:val="center"/>
          </w:tcPr>
          <w:p w14:paraId="2C7347B4">
            <w:pPr>
              <w:spacing w:line="240" w:lineRule="auto"/>
              <w:ind w:firstLine="0" w:firstLineChars="0"/>
              <w:jc w:val="left"/>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 GB 50010、GB/T 51231和T/CECS 10025。</w:t>
            </w:r>
          </w:p>
        </w:tc>
      </w:tr>
    </w:tbl>
    <w:p w14:paraId="746DBF62">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1" w:name="_Toc186533235"/>
      <w:r>
        <w:rPr>
          <w:rFonts w:ascii="Times New Roman" w:hAnsi="Times New Roman" w:cs="Times New Roman" w:eastAsiaTheme="minorEastAsia"/>
          <w:color w:val="000000" w:themeColor="text1"/>
          <w14:textFill>
            <w14:solidFill>
              <w14:schemeClr w14:val="tx1"/>
            </w14:solidFill>
          </w14:textFill>
        </w:rPr>
        <w:t>4.1.3  预拌混凝土</w:t>
      </w:r>
      <w:bookmarkEnd w:id="21"/>
    </w:p>
    <w:p w14:paraId="41B360EA">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主要材料（系统）：预拌混凝土。</w:t>
      </w:r>
    </w:p>
    <w:p w14:paraId="04D260B3">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w:t>
      </w:r>
    </w:p>
    <w:p w14:paraId="7BFE703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w:t>
      </w:r>
    </w:p>
    <w:tbl>
      <w:tblPr>
        <w:tblStyle w:val="20"/>
        <w:tblW w:w="8133" w:type="dxa"/>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7"/>
        <w:gridCol w:w="4066"/>
      </w:tblGrid>
      <w:tr w14:paraId="6E4B4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111" w:type="dxa"/>
            <w:shd w:val="clear" w:color="auto" w:fill="auto"/>
            <w:vAlign w:val="center"/>
          </w:tcPr>
          <w:p w14:paraId="33C998A1">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绿色要求</w:t>
            </w:r>
          </w:p>
        </w:tc>
        <w:tc>
          <w:tcPr>
            <w:tcW w:w="4111" w:type="dxa"/>
            <w:shd w:val="clear" w:color="auto" w:fill="auto"/>
            <w:vAlign w:val="center"/>
          </w:tcPr>
          <w:p w14:paraId="765AA268">
            <w:pPr>
              <w:spacing w:line="240" w:lineRule="auto"/>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品质属性要求</w:t>
            </w:r>
          </w:p>
        </w:tc>
      </w:tr>
      <w:tr w14:paraId="19C19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55" w:type="dxa"/>
            <w:shd w:val="clear" w:color="auto" w:fill="auto"/>
            <w:vAlign w:val="center"/>
          </w:tcPr>
          <w:p w14:paraId="7456E97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1.水溶性六价铬含量≤200mg/t</w:t>
            </w:r>
          </w:p>
          <w:p w14:paraId="6ED67C3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2.氨释放量≤0.2mg/m³</w:t>
            </w:r>
          </w:p>
        </w:tc>
        <w:tc>
          <w:tcPr>
            <w:tcW w:w="4078" w:type="dxa"/>
            <w:shd w:val="clear" w:color="auto" w:fill="auto"/>
            <w:vAlign w:val="center"/>
          </w:tcPr>
          <w:p w14:paraId="3899B26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1.实测标准偏差与该强度等级标准偏差上限的比值≤0.8</w:t>
            </w:r>
          </w:p>
          <w:p w14:paraId="7188D60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2.混凝土竖向承重结构采用强度等级不小于C50混凝土用量占竖向承重结构中混凝土总量的比例达到50％</w:t>
            </w:r>
          </w:p>
        </w:tc>
      </w:tr>
      <w:tr w14:paraId="244DB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133" w:type="dxa"/>
            <w:gridSpan w:val="2"/>
            <w:shd w:val="clear" w:color="auto" w:fill="auto"/>
            <w:vAlign w:val="center"/>
          </w:tcPr>
          <w:p w14:paraId="6786EE8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注：1.依据GB/T 50010、GB/T 50378、GB/T 51231和T/CECS 10047等；</w:t>
            </w:r>
          </w:p>
          <w:p w14:paraId="68F49A31">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2.优先使用高性能混凝土。</w:t>
            </w:r>
          </w:p>
        </w:tc>
      </w:tr>
    </w:tbl>
    <w:p w14:paraId="610770D1">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2" w:name="_Toc186533236"/>
      <w:r>
        <w:rPr>
          <w:rFonts w:ascii="Times New Roman" w:hAnsi="Times New Roman" w:cs="Times New Roman" w:eastAsiaTheme="minorEastAsia"/>
          <w:color w:val="000000" w:themeColor="text1"/>
          <w14:textFill>
            <w14:solidFill>
              <w14:schemeClr w14:val="tx1"/>
            </w14:solidFill>
          </w14:textFill>
        </w:rPr>
        <w:t>4.1.4  预拌砂浆</w:t>
      </w:r>
      <w:bookmarkEnd w:id="22"/>
    </w:p>
    <w:p w14:paraId="61D4C876">
      <w:pPr>
        <w:spacing w:line="588" w:lineRule="exact"/>
        <w:ind w:firstLine="560" w:firstLineChars="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（1）主要材料（系统）：水泥基预拌砂浆（湿拌砂浆、干混砌筑砂浆、干混抹灰砂浆、干混地面砂浆、干混普通防水砂浆和其他干混砂浆）。</w:t>
      </w:r>
    </w:p>
    <w:p w14:paraId="1FD0483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材料性能要求见表7：</w:t>
      </w:r>
    </w:p>
    <w:p w14:paraId="5BCE73E9">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14:paraId="7DE7B9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vAlign w:val="center"/>
          </w:tcPr>
          <w:p w14:paraId="2FE8FFDB">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vAlign w:val="center"/>
          </w:tcPr>
          <w:p w14:paraId="20EFC9AC">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4CEA3D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56" w:type="dxa"/>
            <w:vAlign w:val="center"/>
          </w:tcPr>
          <w:p w14:paraId="56289504">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1.放射性比活度：I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14:paraId="6538C3E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2.其他干混砂浆可溶性重金属</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w:t>
            </w:r>
          </w:p>
          <w:p w14:paraId="158BAA4D">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铅Pb≤90mg/kg；镉Cd≤75mg/kg；</w:t>
            </w:r>
          </w:p>
          <w:p w14:paraId="4D674389">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铬Cr≤60mg/kg；汞Hg≤60mg/kg</w:t>
            </w:r>
          </w:p>
        </w:tc>
        <w:tc>
          <w:tcPr>
            <w:tcW w:w="4077" w:type="dxa"/>
            <w:vAlign w:val="center"/>
          </w:tcPr>
          <w:p w14:paraId="2091CA4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1.湿拌砂浆、干混砂浆冻融循环后抗压强度损失率≤16%；拉伸粘结强度实测值与设计值的比值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≥1.05</w:t>
            </w:r>
          </w:p>
          <w:p w14:paraId="16213F9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2.其他干混砂浆抗压、抗折强度实测值与设计值的比值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w:t>
            </w:r>
          </w:p>
        </w:tc>
      </w:tr>
      <w:tr w14:paraId="5257F2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3" w:type="dxa"/>
            <w:gridSpan w:val="2"/>
            <w:vAlign w:val="center"/>
          </w:tcPr>
          <w:p w14:paraId="0E07765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6566、JGJ/T 70、GB/T 17671、T/CECS 10048；</w:t>
            </w:r>
          </w:p>
          <w:p w14:paraId="518FECFB">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本条款适用于生产过程中添加固体废弃物的预拌砂浆产品，不适用于未添加固体废弃物的预拌砂浆产品；</w:t>
            </w:r>
          </w:p>
          <w:p w14:paraId="6D487615">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当适用的产品标准未规定相关指标时，该产品不参评此指标，设计值为产品标准中规定的强度等级值。</w:t>
            </w:r>
          </w:p>
        </w:tc>
      </w:tr>
    </w:tbl>
    <w:p w14:paraId="1A4D9391">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（2）主要材料（系统）：石膏砂浆。</w:t>
      </w:r>
    </w:p>
    <w:p w14:paraId="6F273140">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w:t>
      </w:r>
    </w:p>
    <w:p w14:paraId="702EC3DF">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w:t>
      </w:r>
    </w:p>
    <w:tbl>
      <w:tblPr>
        <w:tblStyle w:val="21"/>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89"/>
        <w:gridCol w:w="4011"/>
      </w:tblGrid>
      <w:tr w14:paraId="747BA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3989" w:type="dxa"/>
            <w:vAlign w:val="center"/>
          </w:tcPr>
          <w:p w14:paraId="1C0CADDC">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011" w:type="dxa"/>
            <w:vAlign w:val="center"/>
          </w:tcPr>
          <w:p w14:paraId="69DCF9E6">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05463F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3989" w:type="dxa"/>
            <w:vAlign w:val="center"/>
          </w:tcPr>
          <w:p w14:paraId="643A00DA">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14:paraId="7E5F2B3F">
            <w:pPr>
              <w:spacing w:line="240" w:lineRule="auto"/>
              <w:ind w:firstLine="0" w:firstLineChars="0"/>
              <w:rPr>
                <w:rFonts w:ascii="Times New Roman" w:cs="Times New Roman"/>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2.可溶性重金属</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：铅Pb≤90mg/kg；镉Cd≤75mg/kg；铬Cr≤60mg/kg；汞Hg≤60mg/kg</w:t>
            </w:r>
          </w:p>
        </w:tc>
        <w:tc>
          <w:tcPr>
            <w:tcW w:w="4011" w:type="dxa"/>
            <w:vAlign w:val="center"/>
          </w:tcPr>
          <w:p w14:paraId="1A37417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w:t>
            </w:r>
          </w:p>
          <w:p w14:paraId="2C135437">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2.抗拉强度实测值与设计值的比值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≥1.1</w:t>
            </w:r>
          </w:p>
        </w:tc>
      </w:tr>
      <w:tr w14:paraId="1A403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0" w:type="dxa"/>
            <w:gridSpan w:val="2"/>
            <w:vAlign w:val="center"/>
          </w:tcPr>
          <w:p w14:paraId="2F15A13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6566、T/CECS 10049；</w:t>
            </w:r>
          </w:p>
          <w:p w14:paraId="04A9D7B7">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本条款适用于生产过程中添加固体废弃物的石膏砂浆产品，不适用于未添加固体废弃物的石膏砂浆产品；</w:t>
            </w:r>
          </w:p>
          <w:p w14:paraId="08063E5E">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当适用的产品标准未规定相关指标时，该产品不参评此指标，设计值为产品标准中规定的强度等级值。</w:t>
            </w:r>
          </w:p>
        </w:tc>
      </w:tr>
    </w:tbl>
    <w:p w14:paraId="1381CD3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（3）主要材料（系统）：磷石膏抹灰砂浆。</w:t>
      </w:r>
    </w:p>
    <w:p w14:paraId="230305BE">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w:t>
      </w:r>
    </w:p>
    <w:p w14:paraId="28E9FECC">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表9</w:t>
      </w:r>
    </w:p>
    <w:tbl>
      <w:tblPr>
        <w:tblStyle w:val="21"/>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89"/>
        <w:gridCol w:w="4011"/>
      </w:tblGrid>
      <w:tr w14:paraId="4680B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3989" w:type="dxa"/>
            <w:vAlign w:val="center"/>
          </w:tcPr>
          <w:p w14:paraId="3B24B00F">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011" w:type="dxa"/>
            <w:vAlign w:val="center"/>
          </w:tcPr>
          <w:p w14:paraId="058673C5">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56D206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3989" w:type="dxa"/>
            <w:vAlign w:val="center"/>
          </w:tcPr>
          <w:p w14:paraId="4991B17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14:paraId="00EE6E7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2.可溶性重金属：铅Pb≤90mg/kg；镉Cd≤75mg/kg；铬Cr≤60mg/kg；汞Hg≤60mg/kg</w:t>
            </w:r>
          </w:p>
          <w:p w14:paraId="4189D695">
            <w:pPr>
              <w:spacing w:line="240" w:lineRule="auto"/>
              <w:ind w:firstLine="0" w:firstLineChars="0"/>
              <w:rPr>
                <w:rFonts w:ascii="Times New Roman" w:cs="Times New Roman"/>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3.水溶性氟离子含量（干基）≤0.1%</w:t>
            </w:r>
          </w:p>
        </w:tc>
        <w:tc>
          <w:tcPr>
            <w:tcW w:w="4011" w:type="dxa"/>
            <w:vAlign w:val="center"/>
          </w:tcPr>
          <w:p w14:paraId="43F49F3F">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p w14:paraId="568A9E7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tc>
      </w:tr>
      <w:tr w14:paraId="6AEE13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00" w:type="dxa"/>
            <w:gridSpan w:val="2"/>
            <w:vAlign w:val="center"/>
          </w:tcPr>
          <w:p w14:paraId="5AA07965">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6566、JC/T 2073、GB/T 28627、JC/T 2474；</w:t>
            </w:r>
          </w:p>
          <w:p w14:paraId="13018F03">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设计值为产品标准中规定的强度等级值。</w:t>
            </w:r>
          </w:p>
        </w:tc>
      </w:tr>
    </w:tbl>
    <w:p w14:paraId="2D69A560">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（4）主要材料（系统）：磷石膏基自流平砂浆。</w:t>
      </w:r>
    </w:p>
    <w:p w14:paraId="6345A8C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w:t>
      </w:r>
    </w:p>
    <w:p w14:paraId="6D8B21A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表10</w:t>
      </w:r>
    </w:p>
    <w:tbl>
      <w:tblPr>
        <w:tblStyle w:val="21"/>
        <w:tblW w:w="0" w:type="auto"/>
        <w:tblInd w:w="15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31"/>
        <w:gridCol w:w="4069"/>
      </w:tblGrid>
      <w:tr w14:paraId="1C2D7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trPr>
        <w:tc>
          <w:tcPr>
            <w:tcW w:w="4031" w:type="dxa"/>
            <w:vAlign w:val="center"/>
          </w:tcPr>
          <w:p w14:paraId="5370D1B7">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069" w:type="dxa"/>
            <w:vAlign w:val="center"/>
          </w:tcPr>
          <w:p w14:paraId="39D84976">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523B6A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31" w:type="dxa"/>
            <w:vAlign w:val="center"/>
          </w:tcPr>
          <w:p w14:paraId="4C8B72DA">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≤0.6；I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≤0.6</w:t>
            </w:r>
          </w:p>
          <w:p w14:paraId="39BA09F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2.可溶性重金属：铅Pb≤90mg/kg；镉Cd≤75mg/kg；铬Cr≤60mg/kg；汞Hg≤60mg/kg</w:t>
            </w:r>
          </w:p>
          <w:p w14:paraId="6659CCC0">
            <w:pPr>
              <w:spacing w:line="240" w:lineRule="auto"/>
              <w:ind w:firstLine="0" w:firstLineChars="0"/>
              <w:rPr>
                <w:rFonts w:ascii="Times New Roman" w:cs="Times New Roman"/>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3.水溶性氟离子含量（干基）≤0.1%</w:t>
            </w:r>
          </w:p>
        </w:tc>
        <w:tc>
          <w:tcPr>
            <w:tcW w:w="4069" w:type="dxa"/>
            <w:vAlign w:val="center"/>
          </w:tcPr>
          <w:p w14:paraId="5A827C65">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1.绝干抗压、抗折强度实测值与设计值的比值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p w14:paraId="58A39E4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2.绝干拉伸粘结强度实测值与设计值的比值</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≥1.1</w:t>
            </w:r>
          </w:p>
        </w:tc>
      </w:tr>
      <w:tr w14:paraId="37E23A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vAlign w:val="center"/>
          </w:tcPr>
          <w:p w14:paraId="7D5031A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18582、GB 6566、JC/T 2073、JC/T 1023；</w:t>
            </w:r>
          </w:p>
          <w:p w14:paraId="1FFF6D34">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设计值为产品标准中规定的强度等级值。</w:t>
            </w:r>
          </w:p>
        </w:tc>
      </w:tr>
    </w:tbl>
    <w:p w14:paraId="0D03DE26">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3" w:name="_Toc186533237"/>
      <w:r>
        <w:rPr>
          <w:rFonts w:ascii="Times New Roman" w:hAnsi="Times New Roman" w:cs="Times New Roman" w:eastAsiaTheme="minorEastAsia"/>
          <w:color w:val="000000" w:themeColor="text1"/>
          <w14:textFill>
            <w14:solidFill>
              <w14:schemeClr w14:val="tx1"/>
            </w14:solidFill>
          </w14:textFill>
        </w:rPr>
        <w:t>4.1.5  钢筋</w:t>
      </w:r>
      <w:bookmarkEnd w:id="23"/>
    </w:p>
    <w:p w14:paraId="398FF7B5">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主要材料（系统）：热轧钢筋。</w:t>
      </w:r>
    </w:p>
    <w:p w14:paraId="5C3034E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材料性能要求见表11</w:t>
      </w:r>
      <w:r>
        <w:rPr>
          <w:rFonts w:cs="Times New Roman" w:eastAsiaTheme="minorEastAsia"/>
          <w:color w:val="000000" w:themeColor="text1"/>
          <w14:textFill>
            <w14:solidFill>
              <w14:schemeClr w14:val="tx1"/>
            </w14:solidFill>
          </w14:textFill>
        </w:rPr>
        <w:t>：</w:t>
      </w:r>
    </w:p>
    <w:p w14:paraId="6FC19B7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表11</w:t>
      </w:r>
    </w:p>
    <w:tbl>
      <w:tblPr>
        <w:tblStyle w:val="21"/>
        <w:tblW w:w="822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22"/>
      </w:tblGrid>
      <w:tr w14:paraId="1EAD4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22" w:type="dxa"/>
          </w:tcPr>
          <w:p w14:paraId="6FBEBA4E">
            <w:pPr>
              <w:pStyle w:val="35"/>
              <w:spacing w:line="240" w:lineRule="auto"/>
              <w:ind w:firstLine="0" w:firstLineChars="0"/>
              <w:jc w:val="center"/>
              <w:rPr>
                <w:rFonts w:ascii="Times New Roman" w:cs="Times New Roman" w:eastAsiaTheme="minorEastAsia"/>
                <w:color w:val="000000" w:themeColor="text1"/>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14:paraId="53862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22" w:type="dxa"/>
          </w:tcPr>
          <w:p w14:paraId="63A760CD">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强度400MPa及以上强度等级钢筋应用比例≥85％</w:t>
            </w:r>
          </w:p>
        </w:tc>
      </w:tr>
      <w:tr w14:paraId="29DC6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222" w:type="dxa"/>
          </w:tcPr>
          <w:p w14:paraId="4FCF1561">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注：依据GB 50010、GB/T 50378和GB/T 51231。</w:t>
            </w:r>
          </w:p>
        </w:tc>
      </w:tr>
    </w:tbl>
    <w:p w14:paraId="1E1F1171">
      <w:pPr>
        <w:pStyle w:val="3"/>
        <w:numPr>
          <w:ilvl w:val="1"/>
          <w:numId w:val="0"/>
        </w:numPr>
        <w:spacing w:line="588" w:lineRule="exact"/>
        <w:ind w:left="142"/>
        <w:rPr>
          <w:rFonts w:cs="Times New Roman"/>
          <w:color w:val="000000" w:themeColor="text1"/>
          <w14:textFill>
            <w14:solidFill>
              <w14:schemeClr w14:val="tx1"/>
            </w14:solidFill>
          </w14:textFill>
        </w:rPr>
      </w:pPr>
      <w:bookmarkStart w:id="24" w:name="_Toc186533238"/>
      <w:r>
        <w:rPr>
          <w:rFonts w:cs="Times New Roman"/>
          <w:color w:val="000000" w:themeColor="text1"/>
          <w14:textFill>
            <w14:solidFill>
              <w14:schemeClr w14:val="tx1"/>
            </w14:solidFill>
          </w14:textFill>
        </w:rPr>
        <w:t>4.2  围护结构材料</w:t>
      </w:r>
      <w:bookmarkEnd w:id="24"/>
    </w:p>
    <w:p w14:paraId="22851228">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5" w:name="_Toc186533239"/>
      <w:r>
        <w:rPr>
          <w:rFonts w:ascii="Times New Roman" w:hAnsi="Times New Roman" w:cs="Times New Roman" w:eastAsiaTheme="minorEastAsia"/>
          <w:color w:val="000000" w:themeColor="text1"/>
          <w14:textFill>
            <w14:solidFill>
              <w14:schemeClr w14:val="tx1"/>
            </w14:solidFill>
          </w14:textFill>
        </w:rPr>
        <w:t>4.2.1  门窗</w:t>
      </w:r>
      <w:bookmarkEnd w:id="25"/>
    </w:p>
    <w:p w14:paraId="6BB7F51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（1）主要材料（系统）：门窗。</w:t>
      </w:r>
    </w:p>
    <w:p w14:paraId="336ECE7D">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材料性能要求见表12：</w:t>
      </w:r>
    </w:p>
    <w:p w14:paraId="583F13E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表12</w:t>
      </w:r>
    </w:p>
    <w:tbl>
      <w:tblPr>
        <w:tblStyle w:val="20"/>
        <w:tblW w:w="8214"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6"/>
        <w:gridCol w:w="4098"/>
      </w:tblGrid>
      <w:tr w14:paraId="04C46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57A2889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7B0A061">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308F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4129" w:type="dxa"/>
            <w:shd w:val="clear" w:color="auto" w:fill="auto"/>
            <w:vAlign w:val="center"/>
          </w:tcPr>
          <w:p w14:paraId="429DB992">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1.气密性能不应低于七级</w:t>
            </w:r>
          </w:p>
          <w:p w14:paraId="5BE941E4">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2.空气声隔声性能：外窗≥33dB；外门≥25dB</w:t>
            </w:r>
          </w:p>
        </w:tc>
        <w:tc>
          <w:tcPr>
            <w:tcW w:w="4085" w:type="dxa"/>
            <w:shd w:val="clear" w:color="auto" w:fill="auto"/>
            <w:vAlign w:val="center"/>
          </w:tcPr>
          <w:p w14:paraId="5BD7208E">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1.传热系数：严寒地区：≤1.5W/（m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·K）；寒冷地区：≤2.0W/（m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w:t>
            </w:r>
          </w:p>
          <w:p w14:paraId="5521FB0B">
            <w:pPr>
              <w:pStyle w:val="35"/>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夏热冬冷地区：≤2.4W/（m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·K）；夏热冬暖地区：≤2.8W/（m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·K）</w:t>
            </w:r>
          </w:p>
          <w:p w14:paraId="44FCDE34">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2.太阳得热系数：寒冷地区：≤0.35；夏热冬冷地区：≤0.30；夏热冬暖地区：≤0.25</w:t>
            </w:r>
          </w:p>
        </w:tc>
      </w:tr>
      <w:tr w14:paraId="0132C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214" w:type="dxa"/>
            <w:gridSpan w:val="2"/>
            <w:shd w:val="clear" w:color="auto" w:fill="auto"/>
            <w:vAlign w:val="center"/>
          </w:tcPr>
          <w:p w14:paraId="3760D1C2">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50378、T/CECS 10026。</w:t>
            </w:r>
          </w:p>
        </w:tc>
      </w:tr>
    </w:tbl>
    <w:p w14:paraId="4D4A0D79">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（2）主要材料（系统）：门窗配件及型材。</w:t>
      </w:r>
    </w:p>
    <w:p w14:paraId="7C5C6632">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材料性能要求见表13：</w:t>
      </w:r>
    </w:p>
    <w:p w14:paraId="6D06969D">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表13</w:t>
      </w:r>
    </w:p>
    <w:tbl>
      <w:tblPr>
        <w:tblStyle w:val="20"/>
        <w:tblW w:w="8186"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2"/>
        <w:gridCol w:w="4084"/>
      </w:tblGrid>
      <w:tr w14:paraId="3F669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29" w:type="dxa"/>
            <w:shd w:val="clear" w:color="auto" w:fill="auto"/>
            <w:vAlign w:val="center"/>
          </w:tcPr>
          <w:p w14:paraId="6835A3B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051D4D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8313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129" w:type="dxa"/>
            <w:shd w:val="clear" w:color="auto" w:fill="auto"/>
            <w:vAlign w:val="center"/>
          </w:tcPr>
          <w:p w14:paraId="015E33FB">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1.密封胶条：拉伸强度≥8.5MPa；加热失重（100℃×168h）≤2%</w:t>
            </w:r>
          </w:p>
          <w:p w14:paraId="106F18E2">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2.密封胶位移能力达到25</w:t>
            </w:r>
          </w:p>
        </w:tc>
        <w:tc>
          <w:tcPr>
            <w:tcW w:w="4057" w:type="dxa"/>
            <w:shd w:val="clear" w:color="auto" w:fill="auto"/>
            <w:vAlign w:val="center"/>
          </w:tcPr>
          <w:p w14:paraId="5445A12B">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1.铝合金型材表面涂层质量：阳极氧化达到15μm；电泳涂漆达到Ⅲ级；喷粉型材达到Ⅱ级；覆膜、木纹等型材达到Ⅱ级；喷漆型材经1000h加速耐候性试验后，光泽保持率≥75%，色差≤2.5，粉化为0级</w:t>
            </w:r>
          </w:p>
          <w:p w14:paraId="24F0068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2.塑料型材低温落锤冲击达到Ⅱ级</w:t>
            </w:r>
          </w:p>
        </w:tc>
      </w:tr>
      <w:tr w14:paraId="43BA4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8186" w:type="dxa"/>
            <w:gridSpan w:val="2"/>
            <w:shd w:val="clear" w:color="auto" w:fill="auto"/>
            <w:vAlign w:val="center"/>
          </w:tcPr>
          <w:p w14:paraId="5556F25E">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10026、T/CECS 10041。</w:t>
            </w:r>
          </w:p>
        </w:tc>
      </w:tr>
    </w:tbl>
    <w:p w14:paraId="29BE7E29">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（3）主要材料（系统）：中空玻璃。</w:t>
      </w:r>
    </w:p>
    <w:p w14:paraId="6F7246E9">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材料性能要求见表14：</w:t>
      </w:r>
    </w:p>
    <w:p w14:paraId="1D16C3B5">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表14</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92"/>
        <w:gridCol w:w="4111"/>
      </w:tblGrid>
      <w:tr w14:paraId="29027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092" w:type="dxa"/>
          </w:tcPr>
          <w:p w14:paraId="575C99DC">
            <w:pPr>
              <w:spacing w:line="240" w:lineRule="auto"/>
              <w:ind w:firstLine="48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绿色要求</w:t>
            </w:r>
          </w:p>
        </w:tc>
        <w:tc>
          <w:tcPr>
            <w:tcW w:w="4111" w:type="dxa"/>
          </w:tcPr>
          <w:p w14:paraId="79D29967">
            <w:pPr>
              <w:spacing w:line="240" w:lineRule="auto"/>
              <w:ind w:firstLine="48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14:paraId="6AA7EE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 w:hRule="atLeast"/>
        </w:trPr>
        <w:tc>
          <w:tcPr>
            <w:tcW w:w="4092" w:type="dxa"/>
            <w:vAlign w:val="center"/>
          </w:tcPr>
          <w:p w14:paraId="3C1B8E95">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水气密封耐久性：水分渗透指数I≤0.20，平均值I</w:t>
            </w:r>
            <w:r>
              <w:rPr>
                <w:rFonts w:ascii="Times New Roman" w:cs="Times New Roman" w:eastAsiaTheme="minorEastAsia"/>
                <w:color w:val="000000" w:themeColor="text1"/>
                <w:sz w:val="24"/>
                <w:szCs w:val="24"/>
                <w:vertAlign w:val="subscript"/>
                <w14:textFill>
                  <w14:solidFill>
                    <w14:schemeClr w14:val="tx1"/>
                  </w14:solidFill>
                </w14:textFill>
              </w:rPr>
              <w:t>aV</w:t>
            </w:r>
            <w:r>
              <w:rPr>
                <w:rFonts w:ascii="Times New Roman" w:cs="Times New Roman" w:eastAsiaTheme="minorEastAsia"/>
                <w:color w:val="000000" w:themeColor="text1"/>
                <w:sz w:val="24"/>
                <w:szCs w:val="24"/>
                <w14:textFill>
                  <w14:solidFill>
                    <w14:schemeClr w14:val="tx1"/>
                  </w14:solidFill>
                </w14:textFill>
              </w:rPr>
              <w:t>≤0.10</w:t>
            </w:r>
          </w:p>
        </w:tc>
        <w:tc>
          <w:tcPr>
            <w:tcW w:w="3964" w:type="dxa"/>
          </w:tcPr>
          <w:p w14:paraId="6771A23F">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1.色差≤2.0</w:t>
            </w:r>
          </w:p>
          <w:p w14:paraId="53E85A1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2.可见光透射比≥40.0%</w:t>
            </w:r>
          </w:p>
          <w:p w14:paraId="0A52FFCF">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3.可见光反射比（室外）＜20.0%</w:t>
            </w:r>
          </w:p>
        </w:tc>
      </w:tr>
      <w:tr w14:paraId="23DD74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56" w:type="dxa"/>
            <w:gridSpan w:val="2"/>
          </w:tcPr>
          <w:p w14:paraId="3063B28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10034、GB/T 11944、GB/T 18915.1。</w:t>
            </w:r>
          </w:p>
        </w:tc>
      </w:tr>
    </w:tbl>
    <w:p w14:paraId="77A85138">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26" w:name="_Toc186533240"/>
      <w:r>
        <w:rPr>
          <w:rFonts w:ascii="Times New Roman" w:hAnsi="Times New Roman" w:cs="Times New Roman" w:eastAsiaTheme="minorEastAsia"/>
          <w:color w:val="000000" w:themeColor="text1"/>
          <w14:textFill>
            <w14:solidFill>
              <w14:schemeClr w14:val="tx1"/>
            </w14:solidFill>
          </w14:textFill>
        </w:rPr>
        <w:t>4.2.2  保温隔热材料</w:t>
      </w:r>
      <w:bookmarkEnd w:id="26"/>
    </w:p>
    <w:p w14:paraId="391A7324">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（1）主要材料（系统）：岩棉制品。</w:t>
      </w:r>
    </w:p>
    <w:p w14:paraId="654D06B7">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材料性能要求见表15：</w:t>
      </w:r>
    </w:p>
    <w:p w14:paraId="1F247B26">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表15</w:t>
      </w:r>
    </w:p>
    <w:tbl>
      <w:tblPr>
        <w:tblStyle w:val="20"/>
        <w:tblW w:w="81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0"/>
        <w:gridCol w:w="4077"/>
      </w:tblGrid>
      <w:tr w14:paraId="708EA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4114" w:type="dxa"/>
            <w:shd w:val="clear" w:color="auto" w:fill="auto"/>
            <w:vAlign w:val="center"/>
          </w:tcPr>
          <w:p w14:paraId="6C4B822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13841A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8E4C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4114" w:type="dxa"/>
            <w:shd w:val="clear" w:color="auto" w:fill="auto"/>
            <w:vAlign w:val="center"/>
          </w:tcPr>
          <w:p w14:paraId="06C9C80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导热系数（平均温度25℃）：外墙板≤0.040 W/（m·K）；幕墙、钢结构、内保温用≤0.038 W/（m·K）；岩棉条≤0.048 W/（m·K）</w:t>
            </w:r>
          </w:p>
        </w:tc>
        <w:tc>
          <w:tcPr>
            <w:tcW w:w="4043" w:type="dxa"/>
            <w:shd w:val="clear" w:color="auto" w:fill="auto"/>
            <w:vAlign w:val="center"/>
          </w:tcPr>
          <w:p w14:paraId="275D20E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1.外墙板垂直于表面抗拉强度≥10kPa</w:t>
            </w:r>
          </w:p>
          <w:p w14:paraId="758D9C0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2.外墙板垂直于表面抗拉强度保留率≥40%</w:t>
            </w:r>
          </w:p>
          <w:p w14:paraId="2390AA8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3.密度均匀性≤13%</w:t>
            </w:r>
          </w:p>
          <w:p w14:paraId="0D5D5D4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4.7d全浸体积吸水率（外墙板）≤5.0%</w:t>
            </w:r>
          </w:p>
          <w:p w14:paraId="69E8609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5.酸度系数≥1.8</w:t>
            </w:r>
          </w:p>
        </w:tc>
      </w:tr>
      <w:tr w14:paraId="398F2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trPr>
        <w:tc>
          <w:tcPr>
            <w:tcW w:w="8157" w:type="dxa"/>
            <w:gridSpan w:val="2"/>
            <w:shd w:val="clear" w:color="auto" w:fill="auto"/>
            <w:vAlign w:val="center"/>
          </w:tcPr>
          <w:p w14:paraId="1DE4E2F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tc>
      </w:tr>
    </w:tbl>
    <w:p w14:paraId="1CA2F3F3">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（2）主要材料（系统）：挤塑聚苯乙烯泡沫塑料制品（XPS）。</w:t>
      </w:r>
    </w:p>
    <w:p w14:paraId="7A052890">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材料性能要求见表16：</w:t>
      </w:r>
    </w:p>
    <w:p w14:paraId="5AB0BFB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表16</w:t>
      </w:r>
    </w:p>
    <w:tbl>
      <w:tblPr>
        <w:tblStyle w:val="20"/>
        <w:tblW w:w="8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5"/>
        <w:gridCol w:w="4060"/>
      </w:tblGrid>
      <w:tr w14:paraId="1ECB6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4111" w:type="dxa"/>
            <w:shd w:val="clear" w:color="auto" w:fill="auto"/>
            <w:vAlign w:val="center"/>
          </w:tcPr>
          <w:p w14:paraId="3B285D27">
            <w:pPr>
              <w:widowControl/>
              <w:spacing w:line="240" w:lineRule="auto"/>
              <w:ind w:firstLine="0" w:firstLineChars="0"/>
              <w:jc w:val="center"/>
              <w:rPr>
                <w:rFonts w:cs="Times New Roman" w:eastAsiaTheme="minorEastAsia"/>
                <w:bCs/>
                <w:color w:val="000000" w:themeColor="text1"/>
                <w:kern w:val="0"/>
                <w:sz w:val="24"/>
                <w:szCs w:val="24"/>
                <w14:textFill>
                  <w14:solidFill>
                    <w14:schemeClr w14:val="tx1"/>
                  </w14:solidFill>
                </w14:textFill>
              </w:rPr>
            </w:pPr>
            <w:r>
              <w:rPr>
                <w:rFonts w:cs="Times New Roman" w:eastAsiaTheme="minorEastAsia"/>
                <w:bCs/>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0DC8DE74">
            <w:pPr>
              <w:widowControl/>
              <w:spacing w:line="240" w:lineRule="auto"/>
              <w:ind w:firstLine="0" w:firstLineChars="0"/>
              <w:jc w:val="center"/>
              <w:rPr>
                <w:rFonts w:cs="Times New Roman" w:eastAsiaTheme="minorEastAsia"/>
                <w:bCs/>
                <w:color w:val="000000" w:themeColor="text1"/>
                <w:kern w:val="0"/>
                <w:sz w:val="24"/>
                <w:szCs w:val="24"/>
                <w14:textFill>
                  <w14:solidFill>
                    <w14:schemeClr w14:val="tx1"/>
                  </w14:solidFill>
                </w14:textFill>
              </w:rPr>
            </w:pPr>
            <w:r>
              <w:rPr>
                <w:rFonts w:cs="Times New Roman" w:eastAsiaTheme="minorEastAsia"/>
                <w:bCs/>
                <w:color w:val="000000" w:themeColor="text1"/>
                <w:kern w:val="0"/>
                <w:sz w:val="24"/>
                <w:szCs w:val="24"/>
                <w14:textFill>
                  <w14:solidFill>
                    <w14:schemeClr w14:val="tx1"/>
                  </w14:solidFill>
                </w14:textFill>
              </w:rPr>
              <w:t>品质属性要求</w:t>
            </w:r>
          </w:p>
        </w:tc>
      </w:tr>
      <w:tr w14:paraId="42A17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248" w:type="dxa"/>
            <w:shd w:val="clear" w:color="auto" w:fill="auto"/>
            <w:vAlign w:val="center"/>
          </w:tcPr>
          <w:p w14:paraId="78FBE25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1.带表皮：导热系数（平均温度25℃）≤0.025 W/（m·K）</w:t>
            </w:r>
          </w:p>
          <w:p w14:paraId="15BA9625">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2.不带表皮：导热系数（平均温度25℃）≤0.030 W/（m·K）</w:t>
            </w:r>
          </w:p>
          <w:p w14:paraId="1F22FCB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3.不得使用六溴环十二烷阻燃剂</w:t>
            </w:r>
            <w:r>
              <w:rPr>
                <w:rFonts w:cs="Times New Roman" w:eastAsiaTheme="minorEastAsia"/>
                <w:color w:val="000000" w:themeColor="text1"/>
                <w:sz w:val="24"/>
                <w:szCs w:val="24"/>
                <w:vertAlign w:val="superscript"/>
                <w14:textFill>
                  <w14:solidFill>
                    <w14:schemeClr w14:val="tx1"/>
                  </w14:solidFill>
                </w14:textFill>
              </w:rPr>
              <w:t>a</w:t>
            </w:r>
          </w:p>
          <w:p w14:paraId="3CA7F6F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4.不得使用氟氯烃发泡剂</w:t>
            </w:r>
            <w:r>
              <w:rPr>
                <w:rFonts w:cs="Times New Roman" w:eastAsiaTheme="minorEastAsia"/>
                <w:color w:val="000000" w:themeColor="text1"/>
                <w:sz w:val="24"/>
                <w:szCs w:val="24"/>
                <w:vertAlign w:val="superscript"/>
                <w14:textFill>
                  <w14:solidFill>
                    <w14:schemeClr w14:val="tx1"/>
                  </w14:solidFill>
                </w14:textFill>
              </w:rPr>
              <w:t>a</w:t>
            </w:r>
          </w:p>
        </w:tc>
        <w:tc>
          <w:tcPr>
            <w:tcW w:w="4007" w:type="dxa"/>
            <w:shd w:val="clear" w:color="auto" w:fill="auto"/>
            <w:vAlign w:val="center"/>
          </w:tcPr>
          <w:p w14:paraId="1081DB3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1.带表皮：吸水率（浸水96h）≤1.0%，水蒸气透过系数（23℃±1℃，相对湿度50%±5%）≤2.5 ng/m·s·Pa</w:t>
            </w:r>
          </w:p>
          <w:p w14:paraId="3BB82CB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2.不带表皮：吸水率（浸水96h）≤1.5%，水蒸气透过系数（23℃±1℃，相对湿度50%±5%）≤3.0 ng/m·s·Pa</w:t>
            </w:r>
          </w:p>
          <w:p w14:paraId="75B2839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3.燃烧性能等级达到B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w:t>
            </w:r>
          </w:p>
        </w:tc>
      </w:tr>
      <w:tr w14:paraId="16140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255" w:type="dxa"/>
            <w:gridSpan w:val="2"/>
            <w:shd w:val="clear" w:color="auto" w:fill="auto"/>
            <w:vAlign w:val="center"/>
          </w:tcPr>
          <w:p w14:paraId="4540002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p w14:paraId="0CCC6255">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14:paraId="34D86733">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w:t>
      </w:r>
      <w:bookmarkStart w:id="27" w:name="OLE_LINK3"/>
      <w:r>
        <w:rPr>
          <w:rFonts w:cs="Times New Roman" w:eastAsiaTheme="minorEastAsia"/>
          <w:color w:val="000000" w:themeColor="text1"/>
          <w:szCs w:val="28"/>
          <w14:textFill>
            <w14:solidFill>
              <w14:schemeClr w14:val="tx1"/>
            </w14:solidFill>
          </w14:textFill>
        </w:rPr>
        <w:t>模塑聚苯乙烯泡沫塑料制品（EPS）</w:t>
      </w:r>
      <w:bookmarkEnd w:id="27"/>
      <w:r>
        <w:rPr>
          <w:rFonts w:cs="Times New Roman" w:eastAsiaTheme="minorEastAsia"/>
          <w:color w:val="000000" w:themeColor="text1"/>
          <w:szCs w:val="28"/>
          <w14:textFill>
            <w14:solidFill>
              <w14:schemeClr w14:val="tx1"/>
            </w14:solidFill>
          </w14:textFill>
        </w:rPr>
        <w:t>。</w:t>
      </w:r>
    </w:p>
    <w:p w14:paraId="29A6F889">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材料性能要求见表17：</w:t>
      </w:r>
    </w:p>
    <w:p w14:paraId="4EB2C0D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表17</w:t>
      </w:r>
    </w:p>
    <w:tbl>
      <w:tblPr>
        <w:tblStyle w:val="20"/>
        <w:tblW w:w="8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0"/>
        <w:gridCol w:w="4074"/>
      </w:tblGrid>
      <w:tr w14:paraId="6D96A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4111" w:type="dxa"/>
            <w:shd w:val="clear" w:color="auto" w:fill="auto"/>
            <w:vAlign w:val="center"/>
          </w:tcPr>
          <w:p w14:paraId="0A3EE20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09AF58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0B495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 w:hRule="atLeast"/>
        </w:trPr>
        <w:tc>
          <w:tcPr>
            <w:tcW w:w="4248" w:type="dxa"/>
            <w:shd w:val="clear" w:color="auto" w:fill="auto"/>
            <w:vAlign w:val="center"/>
          </w:tcPr>
          <w:p w14:paraId="4F701D8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1.导热系数（平均温度25℃）≤0.035W/（m·K）</w:t>
            </w:r>
          </w:p>
          <w:p w14:paraId="2A740D6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2.不得使用六溴环十二烷阻燃剂</w:t>
            </w:r>
            <w:r>
              <w:rPr>
                <w:rFonts w:cs="Times New Roman" w:eastAsiaTheme="minorEastAsia"/>
                <w:color w:val="000000" w:themeColor="text1"/>
                <w:sz w:val="24"/>
                <w:szCs w:val="24"/>
                <w:vertAlign w:val="superscript"/>
                <w14:textFill>
                  <w14:solidFill>
                    <w14:schemeClr w14:val="tx1"/>
                  </w14:solidFill>
                </w14:textFill>
              </w:rPr>
              <w:t>a</w:t>
            </w:r>
          </w:p>
          <w:p w14:paraId="587A94DC">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3.不得使用氟氯烃发泡剂</w:t>
            </w:r>
            <w:r>
              <w:rPr>
                <w:rFonts w:cs="Times New Roman" w:eastAsiaTheme="minorEastAsia"/>
                <w:color w:val="000000" w:themeColor="text1"/>
                <w:sz w:val="24"/>
                <w:szCs w:val="24"/>
                <w:vertAlign w:val="superscript"/>
                <w14:textFill>
                  <w14:solidFill>
                    <w14:schemeClr w14:val="tx1"/>
                  </w14:solidFill>
                </w14:textFill>
              </w:rPr>
              <w:t>a</w:t>
            </w:r>
          </w:p>
        </w:tc>
        <w:tc>
          <w:tcPr>
            <w:tcW w:w="4036" w:type="dxa"/>
            <w:shd w:val="clear" w:color="auto" w:fill="auto"/>
          </w:tcPr>
          <w:p w14:paraId="46B95A9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1.弯曲断裂荷载≥20N</w:t>
            </w:r>
          </w:p>
          <w:p w14:paraId="3E89780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2.弯曲变形≥20mm</w:t>
            </w:r>
          </w:p>
          <w:p w14:paraId="34AFBF6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3.燃烧性能等级达到B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级，烟毒性达到t1级</w:t>
            </w:r>
          </w:p>
        </w:tc>
      </w:tr>
      <w:tr w14:paraId="29C79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8284" w:type="dxa"/>
            <w:gridSpan w:val="2"/>
            <w:shd w:val="clear" w:color="auto" w:fill="auto"/>
            <w:vAlign w:val="center"/>
          </w:tcPr>
          <w:p w14:paraId="1082390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p w14:paraId="49F8280B">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14:paraId="63467F97">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（4）主要材料（系统）：玻璃棉。</w:t>
      </w:r>
    </w:p>
    <w:p w14:paraId="4451224F">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材料性能要求见表18：</w:t>
      </w:r>
    </w:p>
    <w:p w14:paraId="2058C395">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表18</w:t>
      </w:r>
    </w:p>
    <w:tbl>
      <w:tblPr>
        <w:tblStyle w:val="20"/>
        <w:tblW w:w="82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3"/>
        <w:gridCol w:w="4067"/>
      </w:tblGrid>
      <w:tr w14:paraId="3310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140BD91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F8A1481">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02353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4248" w:type="dxa"/>
            <w:shd w:val="clear" w:color="auto" w:fill="auto"/>
          </w:tcPr>
          <w:p w14:paraId="0A892832">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1.甲醛释放量≤0.5 mg/L</w:t>
            </w:r>
          </w:p>
          <w:p w14:paraId="53D57BE1">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2.导热系数（平均温度25℃）（毡，密度48kg/m³）≤0.033W/（m·K）</w:t>
            </w:r>
          </w:p>
          <w:p w14:paraId="4783B9E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3.导热系数（平均温度25℃）（毡，密度24kg/m³）≤0.040W/（m·K）</w:t>
            </w:r>
          </w:p>
          <w:p w14:paraId="3944B228">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4.导热系数（平均温度25℃）（毡，密度16kg/m³）≤0.042W/（m·K）</w:t>
            </w:r>
          </w:p>
          <w:p w14:paraId="7B689407">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5.导热系数（平均温度25℃）（板，密度48kg/m³）≤0.039W/（m·K）</w:t>
            </w:r>
          </w:p>
          <w:p w14:paraId="55E7EFC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6.导热系数（平均温度25℃）（条，密度48kg/m³）≤0.049W/（m·K）</w:t>
            </w:r>
          </w:p>
        </w:tc>
        <w:tc>
          <w:tcPr>
            <w:tcW w:w="4022" w:type="dxa"/>
            <w:shd w:val="clear" w:color="auto" w:fill="auto"/>
            <w:vAlign w:val="center"/>
          </w:tcPr>
          <w:p w14:paraId="5D33FBB1">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1.标称密度（毡）≥16kg/m³</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2.标称密度（板）≥32kg/m³</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3.标称密度（条）≥48kg/m³</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4.纤维平均直径（毡）≤6.0μm</w:t>
            </w:r>
          </w:p>
        </w:tc>
      </w:tr>
      <w:tr w14:paraId="32DDA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8270" w:type="dxa"/>
            <w:gridSpan w:val="2"/>
            <w:shd w:val="clear" w:color="auto" w:fill="auto"/>
          </w:tcPr>
          <w:p w14:paraId="6EB1DBD8">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10032。</w:t>
            </w:r>
          </w:p>
        </w:tc>
      </w:tr>
    </w:tbl>
    <w:p w14:paraId="234AED1B">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（5）主要材料（系统）：保温一体化装饰板。</w:t>
      </w:r>
    </w:p>
    <w:p w14:paraId="08E6D9D3">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材料性能要求见表19：</w:t>
      </w:r>
    </w:p>
    <w:p w14:paraId="20224FC0">
      <w:pPr>
        <w:spacing w:line="588" w:lineRule="exact"/>
        <w:ind w:firstLine="560"/>
        <w:rPr>
          <w:rFonts w:cs="Times New Roman" w:eastAsiaTheme="minorEastAsia"/>
          <w:color w:val="000000" w:themeColor="text1"/>
          <w:szCs w:val="28"/>
          <w14:textFill>
            <w14:solidFill>
              <w14:schemeClr w14:val="tx1"/>
            </w14:solidFill>
          </w14:textFill>
        </w:rPr>
      </w:pPr>
    </w:p>
    <w:p w14:paraId="4CEE5B6E">
      <w:pPr>
        <w:spacing w:line="588" w:lineRule="exact"/>
        <w:ind w:firstLine="560"/>
        <w:rPr>
          <w:rFonts w:cs="Times New Roman" w:eastAsiaTheme="minorEastAsia"/>
          <w:color w:val="000000" w:themeColor="text1"/>
          <w:szCs w:val="28"/>
          <w14:textFill>
            <w14:solidFill>
              <w14:schemeClr w14:val="tx1"/>
            </w14:solidFill>
          </w14:textFill>
        </w:rPr>
      </w:pPr>
    </w:p>
    <w:p w14:paraId="48487606">
      <w:pPr>
        <w:spacing w:line="588" w:lineRule="exact"/>
        <w:ind w:firstLine="560"/>
        <w:rPr>
          <w:rFonts w:cs="Times New Roman" w:eastAsiaTheme="minorEastAsia"/>
          <w:color w:val="000000" w:themeColor="text1"/>
          <w:szCs w:val="28"/>
          <w14:textFill>
            <w14:solidFill>
              <w14:schemeClr w14:val="tx1"/>
            </w14:solidFill>
          </w14:textFill>
        </w:rPr>
      </w:pPr>
    </w:p>
    <w:p w14:paraId="7BA7BC2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表19</w:t>
      </w:r>
    </w:p>
    <w:tbl>
      <w:tblPr>
        <w:tblStyle w:val="20"/>
        <w:tblW w:w="82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8"/>
        <w:gridCol w:w="4053"/>
      </w:tblGrid>
      <w:tr w14:paraId="20321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6C9D6F1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379BE52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730F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4248" w:type="dxa"/>
            <w:shd w:val="clear" w:color="auto" w:fill="auto"/>
            <w:vAlign w:val="center"/>
          </w:tcPr>
          <w:p w14:paraId="5FC681D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耐久性（装饰性漆膜综合等级）：耐老化1500h，不低于1级</w:t>
            </w:r>
          </w:p>
        </w:tc>
        <w:tc>
          <w:tcPr>
            <w:tcW w:w="3993" w:type="dxa"/>
            <w:shd w:val="clear" w:color="auto" w:fill="auto"/>
            <w:vAlign w:val="center"/>
          </w:tcPr>
          <w:p w14:paraId="21DDD2C0">
            <w:pPr>
              <w:spacing w:line="240" w:lineRule="auto"/>
              <w:ind w:firstLine="0" w:firstLineChars="0"/>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1.单位面积质量：Ⅰ型</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；Ⅱ型</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≤30kg/m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且≥20kg/m</w:t>
            </w:r>
            <w:r>
              <w:rPr>
                <w:rFonts w:cs="Times New Roman" w:eastAsiaTheme="minorEastAsia"/>
                <w:color w:val="000000" w:themeColor="text1"/>
                <w:sz w:val="24"/>
                <w:szCs w:val="24"/>
                <w:vertAlign w:val="superscript"/>
                <w14:textFill>
                  <w14:solidFill>
                    <w14:schemeClr w14:val="tx1"/>
                  </w14:solidFill>
                </w14:textFill>
              </w:rPr>
              <w:t>2</w:t>
            </w:r>
          </w:p>
          <w:p w14:paraId="15553445">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2.拉伸粘结强度：Ⅰ型≥0.12MPa；Ⅱ型≥0.17MPa</w:t>
            </w:r>
          </w:p>
          <w:p w14:paraId="5D38411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3.保温材料导热系数（平均温度25℃）：B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级≤0.040W/（m·K）；A级≤0.060W/（m·K）</w:t>
            </w:r>
          </w:p>
          <w:p w14:paraId="749616F4">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4.保温材料燃烧性能：不低于B</w:t>
            </w:r>
            <w:r>
              <w:rPr>
                <w:rFonts w:cs="Times New Roman" w:eastAsiaTheme="minorEastAsia"/>
                <w:color w:val="000000" w:themeColor="text1"/>
                <w:sz w:val="24"/>
                <w:szCs w:val="24"/>
                <w:vertAlign w:val="subscript"/>
                <w14:textFill>
                  <w14:solidFill>
                    <w14:schemeClr w14:val="tx1"/>
                  </w14:solidFill>
                </w14:textFill>
              </w:rPr>
              <w:t>1</w:t>
            </w:r>
            <w:r>
              <w:rPr>
                <w:rFonts w:cs="Times New Roman" w:eastAsiaTheme="minorEastAsia"/>
                <w:color w:val="000000" w:themeColor="text1"/>
                <w:sz w:val="24"/>
                <w:szCs w:val="24"/>
                <w14:textFill>
                  <w14:solidFill>
                    <w14:schemeClr w14:val="tx1"/>
                  </w14:solidFill>
                </w14:textFill>
              </w:rPr>
              <w:t>级</w:t>
            </w:r>
          </w:p>
        </w:tc>
      </w:tr>
      <w:tr w14:paraId="5C770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8241" w:type="dxa"/>
            <w:gridSpan w:val="2"/>
            <w:shd w:val="clear" w:color="auto" w:fill="auto"/>
          </w:tcPr>
          <w:p w14:paraId="6AC58468">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10230，保温一体化装饰板芯材不得使用挤塑聚苯乙烯泡沫塑料制品（XPS）和模塑聚苯乙烯泡沫塑料制品（EPS）等热塑性保温材料；</w:t>
            </w:r>
          </w:p>
          <w:p w14:paraId="16E96F4E">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单位面积质量＜20kg/m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的保温装饰一体化板；</w:t>
            </w:r>
          </w:p>
          <w:p w14:paraId="0265EA3C">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单位面积质量≤30kg/m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且≥20kg/m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的保温装饰一体化板。</w:t>
            </w:r>
          </w:p>
        </w:tc>
      </w:tr>
    </w:tbl>
    <w:p w14:paraId="43FEE699">
      <w:pPr>
        <w:pStyle w:val="3"/>
        <w:numPr>
          <w:ilvl w:val="1"/>
          <w:numId w:val="0"/>
        </w:numPr>
        <w:spacing w:line="588" w:lineRule="exact"/>
        <w:ind w:left="142"/>
        <w:rPr>
          <w:rFonts w:cs="Times New Roman"/>
          <w:color w:val="000000" w:themeColor="text1"/>
          <w14:textFill>
            <w14:solidFill>
              <w14:schemeClr w14:val="tx1"/>
            </w14:solidFill>
          </w14:textFill>
        </w:rPr>
      </w:pPr>
      <w:bookmarkStart w:id="28" w:name="_Toc186533241"/>
      <w:r>
        <w:rPr>
          <w:rFonts w:cs="Times New Roman"/>
          <w:color w:val="000000" w:themeColor="text1"/>
          <w14:textFill>
            <w14:solidFill>
              <w14:schemeClr w14:val="tx1"/>
            </w14:solidFill>
          </w14:textFill>
        </w:rPr>
        <w:t>4.3  建筑装饰装修材料</w:t>
      </w:r>
      <w:bookmarkEnd w:id="28"/>
    </w:p>
    <w:p w14:paraId="40166D6E">
      <w:pPr>
        <w:pStyle w:val="3"/>
        <w:numPr>
          <w:ilvl w:val="1"/>
          <w:numId w:val="0"/>
        </w:numPr>
        <w:spacing w:line="588" w:lineRule="exact"/>
        <w:ind w:left="142"/>
        <w:rPr>
          <w:rFonts w:cs="Times New Roman"/>
          <w:color w:val="000000" w:themeColor="text1"/>
          <w14:textFill>
            <w14:solidFill>
              <w14:schemeClr w14:val="tx1"/>
            </w14:solidFill>
          </w14:textFill>
        </w:rPr>
      </w:pPr>
      <w:bookmarkStart w:id="29" w:name="_Toc186533242"/>
      <w:r>
        <w:rPr>
          <w:rFonts w:cs="Times New Roman"/>
          <w:color w:val="000000" w:themeColor="text1"/>
          <w14:textFill>
            <w14:solidFill>
              <w14:schemeClr w14:val="tx1"/>
            </w14:solidFill>
          </w14:textFill>
        </w:rPr>
        <w:t>Ⅰ  隔墙隔断材料</w:t>
      </w:r>
      <w:bookmarkEnd w:id="29"/>
    </w:p>
    <w:p w14:paraId="15172521">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30" w:name="_Toc186533243"/>
      <w:r>
        <w:rPr>
          <w:rFonts w:ascii="Times New Roman" w:hAnsi="Times New Roman" w:cs="Times New Roman" w:eastAsiaTheme="minorEastAsia"/>
          <w:color w:val="000000" w:themeColor="text1"/>
          <w14:textFill>
            <w14:solidFill>
              <w14:schemeClr w14:val="tx1"/>
            </w14:solidFill>
          </w14:textFill>
        </w:rPr>
        <w:t>4.3.1  隔墙材料</w:t>
      </w:r>
      <w:bookmarkEnd w:id="30"/>
    </w:p>
    <w:p w14:paraId="3D4F1E22">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（1）</w:t>
      </w:r>
      <w:r>
        <w:rPr>
          <w:rFonts w:cs="Times New Roman" w:eastAsiaTheme="minorEastAsia"/>
          <w:color w:val="000000" w:themeColor="text1"/>
          <w14:textFill>
            <w14:solidFill>
              <w14:schemeClr w14:val="tx1"/>
            </w14:solidFill>
          </w14:textFill>
        </w:rPr>
        <w:t>主要材料（系统）：隔墙条板（蒸压加气混凝土板</w:t>
      </w:r>
      <w:r>
        <w:rPr>
          <w:rFonts w:cs="Times New Roman" w:eastAsiaTheme="minorEastAsia"/>
          <w:color w:val="000000" w:themeColor="text1"/>
          <w:szCs w:val="28"/>
          <w14:textFill>
            <w14:solidFill>
              <w14:schemeClr w14:val="tx1"/>
            </w14:solidFill>
          </w14:textFill>
        </w:rPr>
        <w:t>、发泡陶瓷板、混凝土轻质条板、石膏空心条板、复合隔墙板等</w:t>
      </w:r>
      <w:r>
        <w:rPr>
          <w:rFonts w:cs="Times New Roman" w:eastAsiaTheme="minorEastAsia"/>
          <w:color w:val="000000" w:themeColor="text1"/>
          <w14:textFill>
            <w14:solidFill>
              <w14:schemeClr w14:val="tx1"/>
            </w14:solidFill>
          </w14:textFill>
        </w:rPr>
        <w:t>）</w:t>
      </w:r>
      <w:r>
        <w:rPr>
          <w:rFonts w:cs="Times New Roman" w:eastAsiaTheme="minorEastAsia"/>
          <w:color w:val="000000" w:themeColor="text1"/>
          <w:szCs w:val="28"/>
          <w14:textFill>
            <w14:solidFill>
              <w14:schemeClr w14:val="tx1"/>
            </w14:solidFill>
          </w14:textFill>
        </w:rPr>
        <w:t>。</w:t>
      </w:r>
    </w:p>
    <w:p w14:paraId="572A23AE">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材料性能要求见表20：</w:t>
      </w:r>
    </w:p>
    <w:p w14:paraId="110830AC">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表20</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1"/>
      </w:tblGrid>
      <w:tr w14:paraId="0773C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4B77A7B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6F8CB3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526D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4057" w:type="dxa"/>
            <w:shd w:val="clear" w:color="auto" w:fill="auto"/>
            <w:vAlign w:val="center"/>
          </w:tcPr>
          <w:p w14:paraId="2B2F524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≥45dB</w:t>
            </w:r>
          </w:p>
          <w:p w14:paraId="1CE1468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14:paraId="1DCAC267">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蒸压加气混凝土板、混凝土轻质条板、石膏空心条板≥1.5h</w:t>
            </w:r>
          </w:p>
          <w:p w14:paraId="2D97A2F1">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发泡陶瓷板、复合隔墙板≥1.0h</w:t>
            </w:r>
          </w:p>
        </w:tc>
        <w:tc>
          <w:tcPr>
            <w:tcW w:w="4085" w:type="dxa"/>
            <w:shd w:val="clear" w:color="auto" w:fill="auto"/>
            <w:vAlign w:val="center"/>
          </w:tcPr>
          <w:p w14:paraId="4B7FFE8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1.抗冲击性能≥5次</w:t>
            </w:r>
          </w:p>
          <w:p w14:paraId="6190399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2.吊挂力：荷载1000N静置24小时，板面无宽度超过0.5mm的裂缝</w:t>
            </w:r>
          </w:p>
          <w:p w14:paraId="49883D44">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3.粘结强度</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：不小于对应产品标准相应级别要求的1.05倍</w:t>
            </w:r>
          </w:p>
        </w:tc>
      </w:tr>
      <w:tr w14:paraId="3E8B8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8142" w:type="dxa"/>
            <w:gridSpan w:val="2"/>
            <w:shd w:val="clear" w:color="auto" w:fill="auto"/>
            <w:vAlign w:val="center"/>
          </w:tcPr>
          <w:p w14:paraId="666E04E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10234；</w:t>
            </w:r>
          </w:p>
          <w:p w14:paraId="24E847A2">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应使用板厚≤200 mm的产品进行检测；</w:t>
            </w:r>
          </w:p>
          <w:p w14:paraId="7D3D6D78">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仅适用于复合隔墙板，纤维水泥夹芯复合墙板不要求此项。</w:t>
            </w:r>
          </w:p>
        </w:tc>
      </w:tr>
    </w:tbl>
    <w:p w14:paraId="1FE748C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（2）</w:t>
      </w:r>
      <w:r>
        <w:rPr>
          <w:rFonts w:cs="Times New Roman" w:eastAsiaTheme="minorEastAsia"/>
          <w:color w:val="000000" w:themeColor="text1"/>
          <w14:textFill>
            <w14:solidFill>
              <w14:schemeClr w14:val="tx1"/>
            </w14:solidFill>
          </w14:textFill>
        </w:rPr>
        <w:t>主要材料（系统）：磷石膏空心砌块</w:t>
      </w:r>
      <w:r>
        <w:rPr>
          <w:rFonts w:cs="Times New Roman" w:eastAsiaTheme="minorEastAsia"/>
          <w:color w:val="000000" w:themeColor="text1"/>
          <w:szCs w:val="28"/>
          <w14:textFill>
            <w14:solidFill>
              <w14:schemeClr w14:val="tx1"/>
            </w14:solidFill>
          </w14:textFill>
        </w:rPr>
        <w:t>。</w:t>
      </w:r>
    </w:p>
    <w:p w14:paraId="664A170E">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材料性能要求见表21：</w:t>
      </w:r>
    </w:p>
    <w:p w14:paraId="481CF71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表21</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85"/>
      </w:tblGrid>
      <w:tr w14:paraId="30E20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057" w:type="dxa"/>
            <w:shd w:val="clear" w:color="auto" w:fill="auto"/>
            <w:vAlign w:val="center"/>
          </w:tcPr>
          <w:p w14:paraId="32FB8AD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085" w:type="dxa"/>
            <w:shd w:val="clear" w:color="auto" w:fill="auto"/>
            <w:vAlign w:val="center"/>
          </w:tcPr>
          <w:p w14:paraId="58C26DE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67BB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4057" w:type="dxa"/>
            <w:shd w:val="clear" w:color="auto" w:fill="auto"/>
            <w:vAlign w:val="center"/>
          </w:tcPr>
          <w:p w14:paraId="4A56BED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1.空气声计权隔声量：不小于对应产品标准相应要求的1.05倍</w:t>
            </w:r>
          </w:p>
          <w:p w14:paraId="480AEFF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2.耐火极限≥1.5h</w:t>
            </w:r>
          </w:p>
          <w:p w14:paraId="1FC3698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3.产品浸出液中氟离子含量≤0.4%</w:t>
            </w:r>
          </w:p>
          <w:p w14:paraId="30FDC10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4.放射性核素限量：内照射指数I</w:t>
            </w:r>
            <w:r>
              <w:rPr>
                <w:rFonts w:cs="Times New Roman" w:eastAsiaTheme="minorEastAsia"/>
                <w:color w:val="000000" w:themeColor="text1"/>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≤0.6；外照射指数I</w:t>
            </w:r>
            <w:r>
              <w:rPr>
                <w:rFonts w:cs="Times New Roman" w:eastAsiaTheme="minorEastAsia"/>
                <w:color w:val="000000" w:themeColor="text1"/>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≤0.6</w:t>
            </w:r>
          </w:p>
        </w:tc>
        <w:tc>
          <w:tcPr>
            <w:tcW w:w="4085" w:type="dxa"/>
            <w:shd w:val="clear" w:color="auto" w:fill="auto"/>
            <w:vAlign w:val="center"/>
          </w:tcPr>
          <w:p w14:paraId="76D4C5B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1.断裂荷载：不小于对应产品标准相应要求的1.1倍</w:t>
            </w:r>
          </w:p>
          <w:p w14:paraId="14ED5FA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2.吊挂力：荷载1000N静置24小时，板面无宽度超过0.5mm的裂缝</w:t>
            </w:r>
          </w:p>
        </w:tc>
      </w:tr>
      <w:tr w14:paraId="58D80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8142" w:type="dxa"/>
            <w:gridSpan w:val="2"/>
            <w:shd w:val="clear" w:color="auto" w:fill="auto"/>
            <w:vAlign w:val="center"/>
          </w:tcPr>
          <w:p w14:paraId="2AC9F68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19889.3、GB/T 9978.1、GB/T 23456、GB 6566、GB/T 23450、JC/T 698。</w:t>
            </w:r>
          </w:p>
        </w:tc>
      </w:tr>
    </w:tbl>
    <w:p w14:paraId="7B961AA8">
      <w:pPr>
        <w:pStyle w:val="3"/>
        <w:numPr>
          <w:ilvl w:val="1"/>
          <w:numId w:val="0"/>
        </w:numPr>
        <w:spacing w:line="588" w:lineRule="exact"/>
        <w:ind w:left="142"/>
        <w:rPr>
          <w:rFonts w:cs="Times New Roman"/>
          <w:color w:val="000000" w:themeColor="text1"/>
          <w14:textFill>
            <w14:solidFill>
              <w14:schemeClr w14:val="tx1"/>
            </w14:solidFill>
          </w14:textFill>
        </w:rPr>
      </w:pPr>
      <w:bookmarkStart w:id="31" w:name="_Toc186533244"/>
      <w:r>
        <w:rPr>
          <w:rFonts w:cs="Times New Roman"/>
          <w:color w:val="000000" w:themeColor="text1"/>
          <w14:textFill>
            <w14:solidFill>
              <w14:schemeClr w14:val="tx1"/>
            </w14:solidFill>
          </w14:textFill>
        </w:rPr>
        <w:t>Ⅱ  墙面材料</w:t>
      </w:r>
      <w:bookmarkEnd w:id="31"/>
    </w:p>
    <w:p w14:paraId="7D1A16FA">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32" w:name="_Toc186533245"/>
      <w:r>
        <w:rPr>
          <w:rFonts w:ascii="Times New Roman" w:hAnsi="Times New Roman" w:cs="Times New Roman" w:eastAsiaTheme="minorEastAsia"/>
          <w:color w:val="000000" w:themeColor="text1"/>
          <w14:textFill>
            <w14:solidFill>
              <w14:schemeClr w14:val="tx1"/>
            </w14:solidFill>
          </w14:textFill>
        </w:rPr>
        <w:t>4.3.2  涂料</w:t>
      </w:r>
      <w:bookmarkEnd w:id="32"/>
    </w:p>
    <w:p w14:paraId="4E561B65">
      <w:pPr>
        <w:spacing w:line="588" w:lineRule="exact"/>
        <w:ind w:firstLine="420" w:firstLineChars="15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（1）主要材料（系统）：水性墙面涂料。</w:t>
      </w:r>
    </w:p>
    <w:p w14:paraId="721EA45F">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材料性能要求见表22：</w:t>
      </w:r>
    </w:p>
    <w:p w14:paraId="4C47D861">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表22</w:t>
      </w:r>
    </w:p>
    <w:tbl>
      <w:tblPr>
        <w:tblStyle w:val="20"/>
        <w:tblW w:w="8115"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8"/>
        <w:gridCol w:w="4057"/>
      </w:tblGrid>
      <w:tr w14:paraId="6CC60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05EEF1C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189D81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D91D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trPr>
        <w:tc>
          <w:tcPr>
            <w:tcW w:w="4029" w:type="dxa"/>
            <w:shd w:val="clear" w:color="auto" w:fill="auto"/>
            <w:vAlign w:val="center"/>
          </w:tcPr>
          <w:p w14:paraId="0439B0F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1.内墙涂料挥发性有机化合物含量（60°光泽≤10）≤50g/L</w:t>
            </w:r>
          </w:p>
          <w:p w14:paraId="3BC77FA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2.内墙涂料挥发性有机化合物含量（60°光泽＞10）≤80g/L</w:t>
            </w:r>
          </w:p>
          <w:p w14:paraId="73502B0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3.外墙涂料挥发性有机化合物含量≤80g/L</w:t>
            </w:r>
          </w:p>
          <w:p w14:paraId="5EB255C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4.甲醛含量（乙酰丙酮法）内墙涂料≤30mg/kg；甲醛含量（乙酰丙酮法）外墙涂料≤40mg/kg</w:t>
            </w:r>
          </w:p>
          <w:p w14:paraId="0B61DFB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5.苯、甲苯、乙苯、二甲苯总和</w:t>
            </w:r>
          </w:p>
          <w:p w14:paraId="2AE278A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≤80 mg/kg</w:t>
            </w:r>
          </w:p>
        </w:tc>
        <w:tc>
          <w:tcPr>
            <w:tcW w:w="4086" w:type="dxa"/>
            <w:shd w:val="clear" w:color="auto" w:fill="auto"/>
            <w:vAlign w:val="center"/>
          </w:tcPr>
          <w:p w14:paraId="7112F877">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1.耐人工气候老化性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w:t>
            </w:r>
          </w:p>
          <w:p w14:paraId="3C92B3F0">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老化时间：水性多彩≥1200h，水性氟涂料≥4000h，其他≥600h</w:t>
            </w:r>
          </w:p>
          <w:p w14:paraId="1292BFAF">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外观：不起泡、不剥落、无裂纹</w:t>
            </w:r>
          </w:p>
          <w:p w14:paraId="42DAA7D0">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粉化：平涂1级，质感0级</w:t>
            </w:r>
          </w:p>
          <w:p w14:paraId="5656BFDD">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变色</w:t>
            </w:r>
            <w:r>
              <w:rPr>
                <w:rFonts w:cs="Times New Roman" w:eastAsiaTheme="minorEastAsia"/>
                <w:bCs/>
                <w:color w:val="000000" w:themeColor="text1"/>
                <w:sz w:val="24"/>
                <w:szCs w:val="24"/>
                <w:vertAlign w:val="superscript"/>
                <w14:textFill>
                  <w14:solidFill>
                    <w14:schemeClr w14:val="tx1"/>
                  </w14:solidFill>
                </w14:textFill>
              </w:rPr>
              <w:t>b</w:t>
            </w:r>
            <w:r>
              <w:rPr>
                <w:rFonts w:cs="Times New Roman" w:eastAsiaTheme="minorEastAsia"/>
                <w:bCs/>
                <w:color w:val="000000" w:themeColor="text1"/>
                <w:sz w:val="24"/>
                <w:szCs w:val="24"/>
                <w14:textFill>
                  <w14:solidFill>
                    <w14:schemeClr w14:val="tx1"/>
                  </w14:solidFill>
                </w14:textFill>
              </w:rPr>
              <w:t>：平涂2级，质感1级</w:t>
            </w:r>
          </w:p>
          <w:p w14:paraId="4E21EBEE">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2.耐沾污性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：平涂弹性涂料≤20%，平涂其他≤15%，粗糙表面1级</w:t>
            </w:r>
          </w:p>
          <w:p w14:paraId="5E11A7F2">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3.耐洗刷性</w:t>
            </w:r>
            <w:r>
              <w:rPr>
                <w:rFonts w:cs="Times New Roman" w:eastAsiaTheme="minorEastAsia"/>
                <w:bCs/>
                <w:color w:val="000000" w:themeColor="text1"/>
                <w:sz w:val="24"/>
                <w:szCs w:val="24"/>
                <w:vertAlign w:val="superscript"/>
                <w14:textFill>
                  <w14:solidFill>
                    <w14:schemeClr w14:val="tx1"/>
                  </w14:solidFill>
                </w14:textFill>
              </w:rPr>
              <w:t>c</w:t>
            </w:r>
            <w:r>
              <w:rPr>
                <w:rFonts w:cs="Times New Roman" w:eastAsiaTheme="minorEastAsia"/>
                <w:bCs/>
                <w:color w:val="000000" w:themeColor="text1"/>
                <w:sz w:val="24"/>
                <w:szCs w:val="24"/>
                <w14:textFill>
                  <w14:solidFill>
                    <w14:schemeClr w14:val="tx1"/>
                  </w14:solidFill>
                </w14:textFill>
              </w:rPr>
              <w:t>：内墙涂料≥6000次，外墙涂料≥3000次</w:t>
            </w:r>
          </w:p>
        </w:tc>
      </w:tr>
      <w:tr w14:paraId="408E2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 w:hRule="atLeast"/>
        </w:trPr>
        <w:tc>
          <w:tcPr>
            <w:tcW w:w="8115" w:type="dxa"/>
            <w:gridSpan w:val="2"/>
            <w:shd w:val="clear" w:color="auto" w:fill="auto"/>
            <w:vAlign w:val="center"/>
          </w:tcPr>
          <w:p w14:paraId="1146ACDC">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10039；</w:t>
            </w:r>
          </w:p>
          <w:p w14:paraId="0B08E275">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适用于外墙水性涂料；</w:t>
            </w:r>
          </w:p>
          <w:p w14:paraId="45FBCE3C">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变色指标仅针对白色和浅色，浅色是指以白色涂料为主，添加适量颜料后配制的涂料形成的涂膜所呈现的浅颜色，按GB/T 15608的规定，明度值为6~9（三刺激值中的</w:t>
            </w:r>
            <w:r>
              <w:rPr>
                <w:rFonts w:cs="Times New Roman" w:eastAsiaTheme="minorEastAsia"/>
                <w:i/>
                <w:color w:val="000000" w:themeColor="text1"/>
                <w:sz w:val="24"/>
                <w:szCs w:val="24"/>
                <w14:textFill>
                  <w14:solidFill>
                    <w14:schemeClr w14:val="tx1"/>
                  </w14:solidFill>
                </w14:textFill>
              </w:rPr>
              <w:t xml:space="preserve">Y </w:t>
            </w:r>
            <w:r>
              <w:rPr>
                <w:rFonts w:cs="Times New Roman" w:eastAsiaTheme="minorEastAsia"/>
                <w:color w:val="000000" w:themeColor="text1"/>
                <w:sz w:val="24"/>
                <w:szCs w:val="24"/>
                <w:vertAlign w:val="subscript"/>
                <w14:textFill>
                  <w14:solidFill>
                    <w14:schemeClr w14:val="tx1"/>
                  </w14:solidFill>
                </w14:textFill>
              </w:rPr>
              <w:t>D65</w:t>
            </w:r>
            <w:r>
              <w:rPr>
                <w:rFonts w:cs="Times New Roman" w:eastAsiaTheme="minorEastAsia"/>
                <w:color w:val="000000" w:themeColor="text1"/>
                <w:sz w:val="24"/>
                <w:szCs w:val="24"/>
                <w14:textFill>
                  <w14:solidFill>
                    <w14:schemeClr w14:val="tx1"/>
                  </w14:solidFill>
                </w14:textFill>
              </w:rPr>
              <w:t>≥31.26），其他颜色涂料的变色指标商定；</w:t>
            </w:r>
          </w:p>
          <w:p w14:paraId="06C09EC2">
            <w:pPr>
              <w:widowControl/>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适用于平涂面漆，且不含弹性产品。</w:t>
            </w:r>
          </w:p>
        </w:tc>
      </w:tr>
    </w:tbl>
    <w:p w14:paraId="416DB142">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（2）主要材料（系统）：无机干粉涂覆材料。</w:t>
      </w:r>
    </w:p>
    <w:p w14:paraId="59040C66">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材料性能要求见表23：</w:t>
      </w:r>
    </w:p>
    <w:p w14:paraId="2367F662">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表23</w:t>
      </w:r>
    </w:p>
    <w:tbl>
      <w:tblPr>
        <w:tblStyle w:val="20"/>
        <w:tblW w:w="8100"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14:paraId="380EA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297D65D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7591F3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CA19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14" w:type="dxa"/>
            <w:shd w:val="clear" w:color="auto" w:fill="auto"/>
            <w:vAlign w:val="center"/>
          </w:tcPr>
          <w:p w14:paraId="621E3C93">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1.游离甲醛含量≤10mg/kg</w:t>
            </w:r>
          </w:p>
          <w:p w14:paraId="4376CDD2">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2.苯、甲苯、乙苯、二甲苯总和</w:t>
            </w:r>
          </w:p>
          <w:p w14:paraId="3807EC4B">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≤50 mg/kg</w:t>
            </w:r>
          </w:p>
          <w:p w14:paraId="4CD6FE3B">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3.挥发性有机化合物含量≤2g/kg</w:t>
            </w:r>
          </w:p>
          <w:p w14:paraId="2848077F">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4.放射性：内照射指数≤1.0；外照射指数≤1.3</w:t>
            </w:r>
          </w:p>
        </w:tc>
        <w:tc>
          <w:tcPr>
            <w:tcW w:w="4086" w:type="dxa"/>
            <w:shd w:val="clear" w:color="auto" w:fill="auto"/>
            <w:vAlign w:val="center"/>
          </w:tcPr>
          <w:p w14:paraId="17C4B406">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1.耐人工气候老化性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：老化时间≥1000h，外观不起泡、不剥落、无裂纹，粉化≤1级，变色</w:t>
            </w:r>
            <w:r>
              <w:rPr>
                <w:rFonts w:cs="Times New Roman" w:eastAsiaTheme="minorEastAsia"/>
                <w:bCs/>
                <w:color w:val="000000" w:themeColor="text1"/>
                <w:sz w:val="24"/>
                <w:szCs w:val="24"/>
                <w:vertAlign w:val="superscript"/>
                <w14:textFill>
                  <w14:solidFill>
                    <w14:schemeClr w14:val="tx1"/>
                  </w14:solidFill>
                </w14:textFill>
              </w:rPr>
              <w:t>b</w:t>
            </w:r>
            <w:r>
              <w:rPr>
                <w:rFonts w:cs="Times New Roman" w:eastAsiaTheme="minorEastAsia"/>
                <w:bCs/>
                <w:color w:val="000000" w:themeColor="text1"/>
                <w:sz w:val="24"/>
                <w:szCs w:val="24"/>
                <w14:textFill>
                  <w14:solidFill>
                    <w14:schemeClr w14:val="tx1"/>
                  </w14:solidFill>
                </w14:textFill>
              </w:rPr>
              <w:t>≤2级</w:t>
            </w:r>
          </w:p>
          <w:p w14:paraId="4DC9578C">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2.耐沾污性</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≤15%</w:t>
            </w:r>
          </w:p>
          <w:p w14:paraId="7F61F1E6">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3.耐洗刷性≥2000次</w:t>
            </w:r>
          </w:p>
        </w:tc>
      </w:tr>
      <w:tr w14:paraId="2DBA1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00" w:type="dxa"/>
            <w:gridSpan w:val="2"/>
            <w:shd w:val="clear" w:color="auto" w:fill="auto"/>
            <w:vAlign w:val="center"/>
          </w:tcPr>
          <w:p w14:paraId="213AE411">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10039；</w:t>
            </w:r>
          </w:p>
          <w:p w14:paraId="239219ED">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适用于外墙用无机粉体涂料；</w:t>
            </w:r>
          </w:p>
          <w:p w14:paraId="78174D97">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变色指标仅针对白色和浅色，浅色是指以白色涂料为主，添加适量颜料后配制的涂料形成的涂膜所呈现的浅颜色，按GB/T 15608的规定，明度值为6~9（Y</w:t>
            </w:r>
            <w:r>
              <w:rPr>
                <w:rFonts w:cs="Times New Roman" w:eastAsiaTheme="minorEastAsia"/>
                <w:color w:val="000000" w:themeColor="text1"/>
                <w:sz w:val="24"/>
                <w:szCs w:val="24"/>
                <w:vertAlign w:val="subscript"/>
                <w14:textFill>
                  <w14:solidFill>
                    <w14:schemeClr w14:val="tx1"/>
                  </w14:solidFill>
                </w14:textFill>
              </w:rPr>
              <w:t>D65</w:t>
            </w:r>
            <w:r>
              <w:rPr>
                <w:rFonts w:cs="Times New Roman" w:eastAsiaTheme="minorEastAsia"/>
                <w:color w:val="000000" w:themeColor="text1"/>
                <w:sz w:val="24"/>
                <w:szCs w:val="24"/>
                <w14:textFill>
                  <w14:solidFill>
                    <w14:schemeClr w14:val="tx1"/>
                  </w14:solidFill>
                </w14:textFill>
              </w:rPr>
              <w:t>≥31.26），其他颜色涂料的变色指标商定。</w:t>
            </w:r>
          </w:p>
        </w:tc>
      </w:tr>
      <w:bookmarkEnd w:id="17"/>
    </w:tbl>
    <w:p w14:paraId="5E96953F">
      <w:pPr>
        <w:pStyle w:val="2"/>
        <w:spacing w:before="156" w:after="156" w:line="588" w:lineRule="exact"/>
        <w:rPr>
          <w:rFonts w:cs="Times New Roman"/>
        </w:rPr>
      </w:pPr>
      <w:bookmarkStart w:id="33" w:name="_Toc22752"/>
      <w:bookmarkStart w:id="34" w:name="_Toc98250103"/>
      <w:bookmarkStart w:id="35" w:name="_Toc51021872"/>
      <w:bookmarkStart w:id="36" w:name="_Toc186533246"/>
      <w:r>
        <w:rPr>
          <w:rFonts w:cs="Times New Roman" w:eastAsiaTheme="minorEastAsia"/>
          <w:color w:val="000000" w:themeColor="text1"/>
          <w:sz w:val="30"/>
          <w:szCs w:val="30"/>
          <w14:textFill>
            <w14:solidFill>
              <w14:schemeClr w14:val="tx1"/>
            </w14:solidFill>
          </w14:textFill>
        </w:rPr>
        <w:t xml:space="preserve">5  </w:t>
      </w:r>
      <w:bookmarkEnd w:id="33"/>
      <w:bookmarkEnd w:id="34"/>
      <w:bookmarkEnd w:id="35"/>
      <w:r>
        <w:rPr>
          <w:rFonts w:cs="Times New Roman" w:eastAsiaTheme="minorEastAsia"/>
          <w:color w:val="000000" w:themeColor="text1"/>
          <w:sz w:val="30"/>
          <w:szCs w:val="30"/>
          <w14:textFill>
            <w14:solidFill>
              <w14:schemeClr w14:val="tx1"/>
            </w14:solidFill>
          </w14:textFill>
        </w:rPr>
        <w:t>可选类绿色建材要求</w:t>
      </w:r>
      <w:bookmarkEnd w:id="36"/>
    </w:p>
    <w:p w14:paraId="5032939E">
      <w:pPr>
        <w:pStyle w:val="3"/>
        <w:numPr>
          <w:ilvl w:val="1"/>
          <w:numId w:val="0"/>
        </w:numPr>
        <w:spacing w:line="588" w:lineRule="exact"/>
        <w:ind w:left="142"/>
        <w:rPr>
          <w:rFonts w:cs="Times New Roman"/>
          <w:color w:val="000000" w:themeColor="text1"/>
          <w14:textFill>
            <w14:solidFill>
              <w14:schemeClr w14:val="tx1"/>
            </w14:solidFill>
          </w14:textFill>
        </w:rPr>
      </w:pPr>
      <w:bookmarkStart w:id="37" w:name="_Toc186533247"/>
      <w:bookmarkStart w:id="38" w:name="_Toc98250111"/>
      <w:bookmarkStart w:id="39" w:name="_Toc21824"/>
      <w:r>
        <w:rPr>
          <w:rFonts w:cs="Times New Roman"/>
          <w:color w:val="000000" w:themeColor="text1"/>
          <w14:textFill>
            <w14:solidFill>
              <w14:schemeClr w14:val="tx1"/>
            </w14:solidFill>
          </w14:textFill>
        </w:rPr>
        <w:t>5.1  围护结构材料</w:t>
      </w:r>
      <w:bookmarkEnd w:id="37"/>
    </w:p>
    <w:p w14:paraId="7337E0E3">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0" w:name="_Toc186533248"/>
      <w:r>
        <w:rPr>
          <w:rFonts w:ascii="Times New Roman" w:hAnsi="Times New Roman" w:cs="Times New Roman" w:eastAsiaTheme="minorEastAsia"/>
          <w:color w:val="000000" w:themeColor="text1"/>
          <w14:textFill>
            <w14:solidFill>
              <w14:schemeClr w14:val="tx1"/>
            </w14:solidFill>
          </w14:textFill>
        </w:rPr>
        <w:t>5.1.1  砌体材料</w:t>
      </w:r>
      <w:bookmarkEnd w:id="40"/>
    </w:p>
    <w:p w14:paraId="1E5B0337">
      <w:pPr>
        <w:spacing w:line="588" w:lineRule="exact"/>
        <w:ind w:firstLine="560"/>
        <w:rPr>
          <w:rFonts w:cs="Times New Roman" w:eastAsiaTheme="minorEastAsia"/>
        </w:rPr>
      </w:pPr>
      <w:r>
        <w:rPr>
          <w:rFonts w:cs="Times New Roman" w:eastAsiaTheme="minorEastAsia"/>
        </w:rPr>
        <w:t>（1）主要材料（系统）：烧结类砌体材料。</w:t>
      </w:r>
    </w:p>
    <w:p w14:paraId="3209DC9B">
      <w:pPr>
        <w:spacing w:line="588" w:lineRule="exact"/>
        <w:ind w:firstLine="560"/>
        <w:rPr>
          <w:rFonts w:cs="Times New Roman" w:eastAsiaTheme="minorEastAsia"/>
        </w:rPr>
      </w:pPr>
      <w:r>
        <w:rPr>
          <w:rFonts w:cs="Times New Roman" w:eastAsiaTheme="minorEastAsia"/>
        </w:rPr>
        <w:t>材料性能要求见表24：</w:t>
      </w:r>
    </w:p>
    <w:p w14:paraId="602A9342">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表24</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14:paraId="6E0C0E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4C3EE7C9">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绿色要求</w:t>
            </w:r>
          </w:p>
        </w:tc>
        <w:tc>
          <w:tcPr>
            <w:tcW w:w="4111" w:type="dxa"/>
          </w:tcPr>
          <w:p w14:paraId="7C69E24F">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品质属性要求</w:t>
            </w:r>
          </w:p>
        </w:tc>
      </w:tr>
      <w:tr w14:paraId="759FE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77" w:type="dxa"/>
            <w:vAlign w:val="center"/>
          </w:tcPr>
          <w:p w14:paraId="3A685D2F">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放射性核素限量：I</w:t>
            </w:r>
            <w:r>
              <w:rPr>
                <w:rFonts w:ascii="Times New Roman" w:cs="Times New Roman" w:eastAsiaTheme="minorEastAsia"/>
                <w:sz w:val="24"/>
                <w:szCs w:val="24"/>
                <w:vertAlign w:val="subscript"/>
              </w:rPr>
              <w:t>Ra</w:t>
            </w:r>
            <w:r>
              <w:rPr>
                <w:rFonts w:ascii="Times New Roman" w:cs="Times New Roman" w:eastAsiaTheme="minorEastAsia"/>
                <w:sz w:val="24"/>
                <w:szCs w:val="24"/>
              </w:rPr>
              <w:t>≤0.8；I</w:t>
            </w:r>
            <w:r>
              <w:rPr>
                <w:rFonts w:ascii="Times New Roman" w:cs="Times New Roman" w:eastAsiaTheme="minorEastAsia"/>
                <w:sz w:val="24"/>
                <w:szCs w:val="24"/>
                <w:vertAlign w:val="subscript"/>
              </w:rPr>
              <w:t>r</w:t>
            </w:r>
            <w:r>
              <w:rPr>
                <w:rFonts w:ascii="Times New Roman" w:cs="Times New Roman" w:eastAsiaTheme="minorEastAsia"/>
                <w:sz w:val="24"/>
                <w:szCs w:val="24"/>
              </w:rPr>
              <w:t>≤0.8</w:t>
            </w:r>
          </w:p>
        </w:tc>
        <w:tc>
          <w:tcPr>
            <w:tcW w:w="4077" w:type="dxa"/>
            <w:vAlign w:val="center"/>
          </w:tcPr>
          <w:p w14:paraId="711DE86A">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1.实测强度与设计强度</w:t>
            </w:r>
            <w:r>
              <w:rPr>
                <w:rFonts w:ascii="Times New Roman" w:cs="Times New Roman" w:eastAsiaTheme="minorEastAsia"/>
                <w:sz w:val="24"/>
                <w:szCs w:val="24"/>
                <w:vertAlign w:val="superscript"/>
              </w:rPr>
              <w:t>a</w:t>
            </w:r>
            <w:r>
              <w:rPr>
                <w:rFonts w:ascii="Times New Roman" w:cs="Times New Roman" w:eastAsiaTheme="minorEastAsia"/>
                <w:sz w:val="24"/>
                <w:szCs w:val="24"/>
              </w:rPr>
              <w:t>的比值≥1.10</w:t>
            </w:r>
          </w:p>
          <w:p w14:paraId="3982CFBB">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2.设计密度</w:t>
            </w:r>
            <w:r>
              <w:rPr>
                <w:rFonts w:ascii="Times New Roman" w:cs="Times New Roman" w:eastAsiaTheme="minorEastAsia"/>
                <w:sz w:val="24"/>
                <w:szCs w:val="24"/>
                <w:vertAlign w:val="superscript"/>
              </w:rPr>
              <w:t>b</w:t>
            </w:r>
            <w:r>
              <w:rPr>
                <w:rFonts w:ascii="Times New Roman" w:cs="Times New Roman" w:eastAsiaTheme="minorEastAsia"/>
                <w:sz w:val="24"/>
                <w:szCs w:val="24"/>
              </w:rPr>
              <w:t>与实测密度的比值≥1.05</w:t>
            </w:r>
          </w:p>
          <w:p w14:paraId="78466B39">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3.抗冻性：不应出现裂纹、分层、掉皮、缺棱掉角等</w:t>
            </w:r>
          </w:p>
        </w:tc>
      </w:tr>
      <w:tr w14:paraId="5CDE7D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4" w:type="dxa"/>
            <w:gridSpan w:val="2"/>
          </w:tcPr>
          <w:p w14:paraId="473FF75B">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注：依据GB 6566、T/CECS 10031。</w:t>
            </w:r>
          </w:p>
          <w:p w14:paraId="7AF46E93">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a</w:t>
            </w:r>
            <w:r>
              <w:rPr>
                <w:rFonts w:ascii="Times New Roman" w:cs="Times New Roman" w:eastAsiaTheme="minorEastAsia"/>
                <w:sz w:val="24"/>
                <w:szCs w:val="24"/>
              </w:rPr>
              <w:t>设计强度为相关产品的国家或产品标准中的强度值；</w:t>
            </w:r>
          </w:p>
          <w:p w14:paraId="0C7E2B39">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b</w:t>
            </w:r>
            <w:r>
              <w:rPr>
                <w:rFonts w:ascii="Times New Roman" w:cs="Times New Roman" w:eastAsiaTheme="minorEastAsia"/>
                <w:sz w:val="24"/>
                <w:szCs w:val="24"/>
              </w:rPr>
              <w:t>设计密度为相关产品的国家或产品标准中的密度值。</w:t>
            </w:r>
          </w:p>
        </w:tc>
      </w:tr>
    </w:tbl>
    <w:p w14:paraId="1B3CBD2F">
      <w:pPr>
        <w:spacing w:line="588" w:lineRule="exact"/>
        <w:ind w:firstLine="560"/>
        <w:rPr>
          <w:rFonts w:cs="Times New Roman" w:eastAsiaTheme="minorEastAsia"/>
        </w:rPr>
      </w:pPr>
      <w:r>
        <w:rPr>
          <w:rFonts w:cs="Times New Roman" w:eastAsiaTheme="minorEastAsia"/>
        </w:rPr>
        <w:t>（2）主要材料（系统）：非烧结类砌体材料。</w:t>
      </w:r>
    </w:p>
    <w:p w14:paraId="089E1A65">
      <w:pPr>
        <w:spacing w:line="588" w:lineRule="exact"/>
        <w:ind w:firstLine="560"/>
        <w:rPr>
          <w:rFonts w:cs="Times New Roman" w:eastAsiaTheme="minorEastAsia"/>
        </w:rPr>
      </w:pPr>
      <w:r>
        <w:rPr>
          <w:rFonts w:cs="Times New Roman" w:eastAsiaTheme="minorEastAsia"/>
        </w:rPr>
        <w:t>材料性能要求见表25：</w:t>
      </w:r>
    </w:p>
    <w:p w14:paraId="6B293A75">
      <w:pPr>
        <w:spacing w:line="588" w:lineRule="exact"/>
        <w:ind w:firstLine="560"/>
        <w:rPr>
          <w:rFonts w:cs="Times New Roman" w:eastAsiaTheme="minorEastAsia"/>
        </w:rPr>
      </w:pPr>
    </w:p>
    <w:p w14:paraId="1B75B22F">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表25</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14:paraId="082D04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 w:hRule="atLeast"/>
        </w:trPr>
        <w:tc>
          <w:tcPr>
            <w:tcW w:w="4111" w:type="dxa"/>
          </w:tcPr>
          <w:p w14:paraId="132C8F8C">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绿色要求</w:t>
            </w:r>
          </w:p>
        </w:tc>
        <w:tc>
          <w:tcPr>
            <w:tcW w:w="4111" w:type="dxa"/>
          </w:tcPr>
          <w:p w14:paraId="5550C1EA">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品质属性要求</w:t>
            </w:r>
          </w:p>
        </w:tc>
      </w:tr>
      <w:tr w14:paraId="6F6656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77" w:type="dxa"/>
            <w:vAlign w:val="center"/>
          </w:tcPr>
          <w:p w14:paraId="4B509942">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放射性核素限量：I</w:t>
            </w:r>
            <w:r>
              <w:rPr>
                <w:rFonts w:ascii="Times New Roman" w:cs="Times New Roman" w:eastAsiaTheme="minorEastAsia"/>
                <w:sz w:val="24"/>
                <w:szCs w:val="24"/>
                <w:vertAlign w:val="subscript"/>
              </w:rPr>
              <w:t>Ra</w:t>
            </w:r>
            <w:r>
              <w:rPr>
                <w:rFonts w:ascii="Times New Roman" w:cs="Times New Roman" w:eastAsiaTheme="minorEastAsia"/>
                <w:sz w:val="24"/>
                <w:szCs w:val="24"/>
              </w:rPr>
              <w:t>≤0.8；I</w:t>
            </w:r>
            <w:r>
              <w:rPr>
                <w:rFonts w:ascii="Times New Roman" w:cs="Times New Roman" w:eastAsiaTheme="minorEastAsia"/>
                <w:sz w:val="24"/>
                <w:szCs w:val="24"/>
                <w:vertAlign w:val="subscript"/>
              </w:rPr>
              <w:t>r</w:t>
            </w:r>
            <w:r>
              <w:rPr>
                <w:rFonts w:ascii="Times New Roman" w:cs="Times New Roman" w:eastAsiaTheme="minorEastAsia"/>
                <w:sz w:val="24"/>
                <w:szCs w:val="24"/>
              </w:rPr>
              <w:t>≤0.8</w:t>
            </w:r>
          </w:p>
        </w:tc>
        <w:tc>
          <w:tcPr>
            <w:tcW w:w="4077" w:type="dxa"/>
            <w:vAlign w:val="center"/>
          </w:tcPr>
          <w:p w14:paraId="1455FE9C">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1.实测强度与设计强度</w:t>
            </w:r>
            <w:r>
              <w:rPr>
                <w:rFonts w:ascii="Times New Roman" w:cs="Times New Roman" w:eastAsiaTheme="minorEastAsia"/>
                <w:sz w:val="24"/>
                <w:szCs w:val="24"/>
                <w:vertAlign w:val="superscript"/>
              </w:rPr>
              <w:t>a</w:t>
            </w:r>
            <w:r>
              <w:rPr>
                <w:rFonts w:ascii="Times New Roman" w:cs="Times New Roman" w:eastAsiaTheme="minorEastAsia"/>
                <w:sz w:val="24"/>
                <w:szCs w:val="24"/>
              </w:rPr>
              <w:t>的比值：</w:t>
            </w:r>
          </w:p>
          <w:p w14:paraId="0F0E15E4">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非烧结类（常压养护）≥1.15</w:t>
            </w:r>
          </w:p>
          <w:p w14:paraId="4A3D35AB">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非烧结类（蒸压养护）≥1.10</w:t>
            </w:r>
          </w:p>
          <w:p w14:paraId="34F01529">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2.设计密度</w:t>
            </w:r>
            <w:r>
              <w:rPr>
                <w:rFonts w:ascii="Times New Roman" w:cs="Times New Roman" w:eastAsiaTheme="minorEastAsia"/>
                <w:sz w:val="24"/>
                <w:szCs w:val="24"/>
                <w:vertAlign w:val="superscript"/>
              </w:rPr>
              <w:t>b</w:t>
            </w:r>
            <w:r>
              <w:rPr>
                <w:rFonts w:ascii="Times New Roman" w:cs="Times New Roman" w:eastAsiaTheme="minorEastAsia"/>
                <w:sz w:val="24"/>
                <w:szCs w:val="24"/>
              </w:rPr>
              <w:t>与实测密度的比值≥1.05</w:t>
            </w:r>
          </w:p>
          <w:p w14:paraId="181C9DBE">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3.抗冻性：质量损失率≤3.0%，强度损失率≤12%</w:t>
            </w:r>
          </w:p>
        </w:tc>
      </w:tr>
      <w:tr w14:paraId="6FA278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4" w:type="dxa"/>
            <w:gridSpan w:val="2"/>
          </w:tcPr>
          <w:p w14:paraId="16137B77">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注：依据GB 6566、T/CECS 10031；</w:t>
            </w:r>
          </w:p>
          <w:p w14:paraId="7CAA33FD">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a</w:t>
            </w:r>
            <w:r>
              <w:rPr>
                <w:rFonts w:ascii="Times New Roman" w:cs="Times New Roman" w:eastAsiaTheme="minorEastAsia"/>
                <w:sz w:val="24"/>
                <w:szCs w:val="24"/>
              </w:rPr>
              <w:t>设计强度为相关产品的国家或产品标准中的强度值；</w:t>
            </w:r>
          </w:p>
          <w:p w14:paraId="361CF567">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b</w:t>
            </w:r>
            <w:r>
              <w:rPr>
                <w:rFonts w:ascii="Times New Roman" w:cs="Times New Roman" w:eastAsiaTheme="minorEastAsia"/>
                <w:sz w:val="24"/>
                <w:szCs w:val="24"/>
              </w:rPr>
              <w:t>设计密度为相关产品的国家或产品标准中的密度值。</w:t>
            </w:r>
          </w:p>
        </w:tc>
      </w:tr>
    </w:tbl>
    <w:p w14:paraId="76AEAFCF">
      <w:pPr>
        <w:spacing w:line="588" w:lineRule="exact"/>
        <w:ind w:firstLine="560"/>
        <w:rPr>
          <w:rFonts w:cs="Times New Roman" w:eastAsiaTheme="minorEastAsia"/>
        </w:rPr>
      </w:pPr>
      <w:r>
        <w:rPr>
          <w:rFonts w:cs="Times New Roman" w:eastAsiaTheme="minorEastAsia"/>
        </w:rPr>
        <w:t>（3）主要材料（系统）：复合保温砌体材料。</w:t>
      </w:r>
    </w:p>
    <w:p w14:paraId="17B6B5DB">
      <w:pPr>
        <w:spacing w:line="588" w:lineRule="exact"/>
        <w:ind w:firstLine="560"/>
        <w:rPr>
          <w:rFonts w:cs="Times New Roman" w:eastAsiaTheme="minorEastAsia"/>
        </w:rPr>
      </w:pPr>
      <w:r>
        <w:rPr>
          <w:rFonts w:cs="Times New Roman" w:eastAsiaTheme="minorEastAsia"/>
        </w:rPr>
        <w:t>材料性能要求见表26：</w:t>
      </w:r>
    </w:p>
    <w:p w14:paraId="6254ED2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表26</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14:paraId="380CD6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14:paraId="6CE7B5A9">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绿色要求</w:t>
            </w:r>
          </w:p>
        </w:tc>
        <w:tc>
          <w:tcPr>
            <w:tcW w:w="4111" w:type="dxa"/>
          </w:tcPr>
          <w:p w14:paraId="7BE30AF4">
            <w:pPr>
              <w:spacing w:line="240" w:lineRule="auto"/>
              <w:ind w:firstLine="0" w:firstLineChars="0"/>
              <w:jc w:val="center"/>
              <w:rPr>
                <w:rFonts w:ascii="Times New Roman" w:cs="Times New Roman" w:eastAsiaTheme="minorEastAsia"/>
                <w:sz w:val="24"/>
                <w:szCs w:val="24"/>
              </w:rPr>
            </w:pPr>
            <w:r>
              <w:rPr>
                <w:rFonts w:ascii="Times New Roman" w:cs="Times New Roman" w:eastAsiaTheme="minorEastAsia"/>
                <w:sz w:val="24"/>
                <w:szCs w:val="24"/>
              </w:rPr>
              <w:t>品质属性要求</w:t>
            </w:r>
          </w:p>
        </w:tc>
      </w:tr>
      <w:tr w14:paraId="2388DB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77" w:type="dxa"/>
            <w:vAlign w:val="center"/>
          </w:tcPr>
          <w:p w14:paraId="62320088">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放射性核素限量：I</w:t>
            </w:r>
            <w:r>
              <w:rPr>
                <w:rFonts w:ascii="Times New Roman" w:cs="Times New Roman" w:eastAsiaTheme="minorEastAsia"/>
                <w:sz w:val="24"/>
                <w:szCs w:val="24"/>
                <w:vertAlign w:val="subscript"/>
              </w:rPr>
              <w:t>Ra</w:t>
            </w:r>
            <w:r>
              <w:rPr>
                <w:rFonts w:ascii="Times New Roman" w:cs="Times New Roman" w:eastAsiaTheme="minorEastAsia"/>
                <w:sz w:val="24"/>
                <w:szCs w:val="24"/>
              </w:rPr>
              <w:t>≤0.8；I</w:t>
            </w:r>
            <w:r>
              <w:rPr>
                <w:rFonts w:ascii="Times New Roman" w:cs="Times New Roman" w:eastAsiaTheme="minorEastAsia"/>
                <w:sz w:val="24"/>
                <w:szCs w:val="24"/>
                <w:vertAlign w:val="subscript"/>
              </w:rPr>
              <w:t>r</w:t>
            </w:r>
            <w:r>
              <w:rPr>
                <w:rFonts w:ascii="Times New Roman" w:cs="Times New Roman" w:eastAsiaTheme="minorEastAsia"/>
                <w:sz w:val="24"/>
                <w:szCs w:val="24"/>
              </w:rPr>
              <w:t>≤0.8</w:t>
            </w:r>
          </w:p>
        </w:tc>
        <w:tc>
          <w:tcPr>
            <w:tcW w:w="4077" w:type="dxa"/>
            <w:vAlign w:val="center"/>
          </w:tcPr>
          <w:p w14:paraId="035EF24E">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1.实测强度与设计强度</w:t>
            </w:r>
            <w:r>
              <w:rPr>
                <w:rFonts w:ascii="Times New Roman" w:cs="Times New Roman" w:eastAsiaTheme="minorEastAsia"/>
                <w:sz w:val="24"/>
                <w:szCs w:val="24"/>
                <w:vertAlign w:val="superscript"/>
              </w:rPr>
              <w:t>a</w:t>
            </w:r>
            <w:r>
              <w:rPr>
                <w:rFonts w:ascii="Times New Roman" w:cs="Times New Roman" w:eastAsiaTheme="minorEastAsia"/>
                <w:sz w:val="24"/>
                <w:szCs w:val="24"/>
              </w:rPr>
              <w:t>的比值：</w:t>
            </w:r>
          </w:p>
          <w:p w14:paraId="28B93863">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烧结类：≥1.10</w:t>
            </w:r>
          </w:p>
          <w:p w14:paraId="55B7CD4D">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非烧结类：≥1.15</w:t>
            </w:r>
          </w:p>
          <w:p w14:paraId="028E7877">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2.设计密度</w:t>
            </w:r>
            <w:r>
              <w:rPr>
                <w:rFonts w:ascii="Times New Roman" w:cs="Times New Roman" w:eastAsiaTheme="minorEastAsia"/>
                <w:sz w:val="24"/>
                <w:szCs w:val="24"/>
                <w:vertAlign w:val="superscript"/>
              </w:rPr>
              <w:t>b</w:t>
            </w:r>
            <w:r>
              <w:rPr>
                <w:rFonts w:ascii="Times New Roman" w:cs="Times New Roman" w:eastAsiaTheme="minorEastAsia"/>
                <w:sz w:val="24"/>
                <w:szCs w:val="24"/>
              </w:rPr>
              <w:t>与实测密度的比值≥1.05</w:t>
            </w:r>
          </w:p>
          <w:p w14:paraId="7B81939B">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3.抗冻性：</w:t>
            </w:r>
          </w:p>
          <w:p w14:paraId="1B8657CC">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烧结类：不应出现裂纹、分层、掉皮、缺棱掉角等</w:t>
            </w:r>
          </w:p>
          <w:p w14:paraId="2A05F779">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非烧结类：质量损失率≤3.0%，强度损失率≤12%</w:t>
            </w:r>
          </w:p>
          <w:p w14:paraId="69866963">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4.耐火极限：非承重外墙≥1h；住宅建筑单元之间的墙和分户墙≥2h</w:t>
            </w:r>
          </w:p>
        </w:tc>
      </w:tr>
      <w:tr w14:paraId="59370B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4" w:type="dxa"/>
            <w:gridSpan w:val="2"/>
          </w:tcPr>
          <w:p w14:paraId="427F309C">
            <w:pPr>
              <w:spacing w:line="240" w:lineRule="auto"/>
              <w:ind w:firstLine="0" w:firstLineChars="0"/>
              <w:rPr>
                <w:rFonts w:ascii="Times New Roman" w:cs="Times New Roman" w:eastAsiaTheme="minorEastAsia"/>
                <w:sz w:val="24"/>
                <w:szCs w:val="24"/>
              </w:rPr>
            </w:pPr>
            <w:r>
              <w:rPr>
                <w:rFonts w:ascii="Times New Roman" w:cs="Times New Roman" w:eastAsiaTheme="minorEastAsia"/>
                <w:sz w:val="24"/>
                <w:szCs w:val="24"/>
              </w:rPr>
              <w:t>注：依据GB 6566、T/CECS 10031；</w:t>
            </w:r>
          </w:p>
          <w:p w14:paraId="7F70E432">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a</w:t>
            </w:r>
            <w:r>
              <w:rPr>
                <w:rFonts w:ascii="Times New Roman" w:cs="Times New Roman" w:eastAsiaTheme="minorEastAsia"/>
                <w:sz w:val="24"/>
                <w:szCs w:val="24"/>
              </w:rPr>
              <w:t>设计强度为相关产品的国家或产品标准中的强度值；</w:t>
            </w:r>
          </w:p>
          <w:p w14:paraId="1CE4F6B1">
            <w:pPr>
              <w:spacing w:line="240" w:lineRule="auto"/>
              <w:ind w:firstLine="480"/>
              <w:rPr>
                <w:rFonts w:ascii="Times New Roman" w:cs="Times New Roman" w:eastAsiaTheme="minorEastAsia"/>
                <w:sz w:val="24"/>
                <w:szCs w:val="24"/>
              </w:rPr>
            </w:pPr>
            <w:r>
              <w:rPr>
                <w:rFonts w:ascii="Times New Roman" w:cs="Times New Roman" w:eastAsiaTheme="minorEastAsia"/>
                <w:sz w:val="24"/>
                <w:szCs w:val="24"/>
                <w:vertAlign w:val="superscript"/>
              </w:rPr>
              <w:t>b</w:t>
            </w:r>
            <w:r>
              <w:rPr>
                <w:rFonts w:ascii="Times New Roman" w:cs="Times New Roman" w:eastAsiaTheme="minorEastAsia"/>
                <w:sz w:val="24"/>
                <w:szCs w:val="24"/>
              </w:rPr>
              <w:t>设计密度为相关产品的国家或产品标准中的密度值。</w:t>
            </w:r>
          </w:p>
        </w:tc>
      </w:tr>
    </w:tbl>
    <w:p w14:paraId="4370690E">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1" w:name="_Toc186533249"/>
      <w:r>
        <w:rPr>
          <w:rFonts w:ascii="Times New Roman" w:hAnsi="Times New Roman" w:cs="Times New Roman" w:eastAsiaTheme="minorEastAsia"/>
          <w:color w:val="000000" w:themeColor="text1"/>
          <w14:textFill>
            <w14:solidFill>
              <w14:schemeClr w14:val="tx1"/>
            </w14:solidFill>
          </w14:textFill>
        </w:rPr>
        <w:t>5.1.2  外墙板</w:t>
      </w:r>
      <w:bookmarkEnd w:id="41"/>
    </w:p>
    <w:p w14:paraId="578C12F8">
      <w:pPr>
        <w:spacing w:line="588" w:lineRule="exact"/>
        <w:ind w:firstLine="560" w:firstLineChars="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（1）主要材料（系统）：蒸压加气混凝土外墙板。</w:t>
      </w:r>
    </w:p>
    <w:p w14:paraId="6360613A">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材料性能要求见表27：</w:t>
      </w:r>
    </w:p>
    <w:p w14:paraId="650BE444">
      <w:pPr>
        <w:spacing w:line="588" w:lineRule="exact"/>
        <w:ind w:firstLine="560"/>
        <w:rPr>
          <w:rFonts w:cs="Times New Roman" w:eastAsiaTheme="minorEastAsia"/>
          <w:color w:val="000000" w:themeColor="text1"/>
          <w:szCs w:val="28"/>
          <w14:textFill>
            <w14:solidFill>
              <w14:schemeClr w14:val="tx1"/>
            </w14:solidFill>
          </w14:textFill>
        </w:rPr>
      </w:pPr>
    </w:p>
    <w:p w14:paraId="0EF2D66A">
      <w:pPr>
        <w:spacing w:line="588" w:lineRule="exact"/>
        <w:ind w:firstLine="560"/>
        <w:rPr>
          <w:rFonts w:cs="Times New Roman" w:eastAsiaTheme="minorEastAsia"/>
          <w:color w:val="000000" w:themeColor="text1"/>
          <w:szCs w:val="28"/>
          <w14:textFill>
            <w14:solidFill>
              <w14:schemeClr w14:val="tx1"/>
            </w14:solidFill>
          </w14:textFill>
        </w:rPr>
      </w:pPr>
    </w:p>
    <w:p w14:paraId="7EDDF775">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表27</w:t>
      </w:r>
    </w:p>
    <w:tbl>
      <w:tblPr>
        <w:tblStyle w:val="20"/>
        <w:tblW w:w="818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1"/>
        <w:gridCol w:w="4099"/>
      </w:tblGrid>
      <w:tr w14:paraId="66E45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4092" w:type="dxa"/>
            <w:shd w:val="clear" w:color="auto" w:fill="auto"/>
            <w:vAlign w:val="center"/>
          </w:tcPr>
          <w:p w14:paraId="28614FF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F31856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32BE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trPr>
        <w:tc>
          <w:tcPr>
            <w:tcW w:w="4092" w:type="dxa"/>
            <w:shd w:val="clear" w:color="auto" w:fill="auto"/>
            <w:vAlign w:val="center"/>
          </w:tcPr>
          <w:p w14:paraId="0918F69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：≥45dB</w:t>
            </w:r>
          </w:p>
          <w:p w14:paraId="3E1A2E9B">
            <w:pPr>
              <w:spacing w:line="240" w:lineRule="auto"/>
              <w:ind w:firstLine="0" w:firstLineChars="0"/>
              <w:rPr>
                <w:rFonts w:cs="Times New Roman"/>
                <w:color w:val="000000" w:themeColor="text1"/>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：≥2.0h</w:t>
            </w:r>
          </w:p>
        </w:tc>
        <w:tc>
          <w:tcPr>
            <w:tcW w:w="4088" w:type="dxa"/>
            <w:shd w:val="clear" w:color="auto" w:fill="auto"/>
            <w:vAlign w:val="center"/>
          </w:tcPr>
          <w:p w14:paraId="2E7C2FA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1.抗冻性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：质量损失率≤3.0%；冻后强度/冻前强度≥0.80</w:t>
            </w:r>
          </w:p>
          <w:p w14:paraId="3B95FE6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2.钢筋防锈要求：锈蚀面积≤4.5%；钢筋粘着力≥1.2MPa</w:t>
            </w:r>
          </w:p>
          <w:p w14:paraId="68F7395B">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3.导热系数：不大于产品标准相应级别指标的95%</w:t>
            </w:r>
          </w:p>
        </w:tc>
      </w:tr>
      <w:tr w14:paraId="66EBB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8180" w:type="dxa"/>
            <w:gridSpan w:val="2"/>
            <w:shd w:val="clear" w:color="auto" w:fill="auto"/>
          </w:tcPr>
          <w:p w14:paraId="2843B25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10232；</w:t>
            </w:r>
          </w:p>
          <w:p w14:paraId="0CD68E07">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应选用墙板厚度≤250mm的产品进行评价检测；</w:t>
            </w:r>
          </w:p>
          <w:p w14:paraId="1967ACC9">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夏热冬暖地区、温和地区不评价此项。</w:t>
            </w:r>
          </w:p>
        </w:tc>
      </w:tr>
    </w:tbl>
    <w:p w14:paraId="500D5741">
      <w:pPr>
        <w:spacing w:line="588" w:lineRule="exact"/>
        <w:ind w:firstLine="560" w:firstLineChars="0"/>
        <w:rPr>
          <w:rFonts w:cs="Times New Roman"/>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（2）</w:t>
      </w:r>
      <w:r>
        <w:rPr>
          <w:rFonts w:cs="Times New Roman"/>
          <w:color w:val="000000" w:themeColor="text1"/>
          <w14:textFill>
            <w14:solidFill>
              <w14:schemeClr w14:val="tx1"/>
            </w14:solidFill>
          </w14:textFill>
        </w:rPr>
        <w:t>主要材料（系统）：建筑外墙用结构保温复合板。</w:t>
      </w:r>
    </w:p>
    <w:p w14:paraId="6E012939">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材料性能要求见表28：</w:t>
      </w:r>
    </w:p>
    <w:p w14:paraId="14A07EA2">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表28</w:t>
      </w:r>
    </w:p>
    <w:tbl>
      <w:tblPr>
        <w:tblStyle w:val="20"/>
        <w:tblW w:w="8214"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6"/>
        <w:gridCol w:w="4098"/>
      </w:tblGrid>
      <w:tr w14:paraId="5258A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29" w:type="dxa"/>
            <w:shd w:val="clear" w:color="auto" w:fill="auto"/>
            <w:vAlign w:val="center"/>
          </w:tcPr>
          <w:p w14:paraId="453B94B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6F540C2D">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8C9F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4129" w:type="dxa"/>
            <w:shd w:val="clear" w:color="auto" w:fill="auto"/>
            <w:vAlign w:val="center"/>
          </w:tcPr>
          <w:p w14:paraId="00BD1E0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：≥48dB</w:t>
            </w:r>
          </w:p>
          <w:p w14:paraId="25342248">
            <w:pPr>
              <w:spacing w:line="240" w:lineRule="auto"/>
              <w:ind w:firstLine="0" w:firstLineChars="0"/>
              <w:rPr>
                <w:rFonts w:cs="Times New Roman"/>
                <w:color w:val="000000" w:themeColor="text1"/>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：≥2.0h</w:t>
            </w:r>
          </w:p>
        </w:tc>
        <w:tc>
          <w:tcPr>
            <w:tcW w:w="4085" w:type="dxa"/>
            <w:shd w:val="clear" w:color="auto" w:fill="auto"/>
            <w:vAlign w:val="center"/>
          </w:tcPr>
          <w:p w14:paraId="54B7D83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1.抗冻性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：冻融后的抗弯强度/冻融前的抗弯强度≥0.85</w:t>
            </w:r>
          </w:p>
          <w:p w14:paraId="217EE82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2.抗弯极限承载力：不小于对应产品标准相应级别要求的1.10倍</w:t>
            </w:r>
          </w:p>
          <w:p w14:paraId="7D229F7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3.抗撞击性能：≥12次</w:t>
            </w:r>
          </w:p>
        </w:tc>
      </w:tr>
      <w:tr w14:paraId="5F56C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 w:hRule="atLeast"/>
        </w:trPr>
        <w:tc>
          <w:tcPr>
            <w:tcW w:w="8214" w:type="dxa"/>
            <w:gridSpan w:val="2"/>
            <w:shd w:val="clear" w:color="auto" w:fill="auto"/>
          </w:tcPr>
          <w:p w14:paraId="5C8C46BC">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10232；</w:t>
            </w:r>
          </w:p>
          <w:p w14:paraId="0A3D0BF7">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应选用墙板厚度≤250mm的产品进行评价检测；</w:t>
            </w:r>
          </w:p>
          <w:p w14:paraId="3B330C05">
            <w:pPr>
              <w:spacing w:line="240" w:lineRule="auto"/>
              <w:ind w:firstLine="48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金属面复合板不评价此项，夏热冬暖地区、温和地区不评价此项。</w:t>
            </w:r>
          </w:p>
        </w:tc>
      </w:tr>
    </w:tbl>
    <w:p w14:paraId="65AABE92">
      <w:pPr>
        <w:spacing w:line="588" w:lineRule="exact"/>
        <w:ind w:firstLine="560" w:firstLineChars="0"/>
        <w:rPr>
          <w:rFonts w:cs="Times New Roman"/>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（3）</w:t>
      </w:r>
      <w:r>
        <w:rPr>
          <w:rFonts w:cs="Times New Roman"/>
          <w:color w:val="000000" w:themeColor="text1"/>
          <w14:textFill>
            <w14:solidFill>
              <w14:schemeClr w14:val="tx1"/>
            </w14:solidFill>
          </w14:textFill>
        </w:rPr>
        <w:t>主要材料（系统）：夹芯复合外墙板。</w:t>
      </w:r>
    </w:p>
    <w:p w14:paraId="3AAFB383">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材料性能要求见表29：</w:t>
      </w:r>
    </w:p>
    <w:p w14:paraId="008A6472">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表29</w:t>
      </w:r>
    </w:p>
    <w:tbl>
      <w:tblPr>
        <w:tblStyle w:val="20"/>
        <w:tblW w:w="8214"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6"/>
        <w:gridCol w:w="4098"/>
      </w:tblGrid>
      <w:tr w14:paraId="12739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trPr>
        <w:tc>
          <w:tcPr>
            <w:tcW w:w="4129" w:type="dxa"/>
            <w:shd w:val="clear" w:color="auto" w:fill="auto"/>
            <w:vAlign w:val="center"/>
          </w:tcPr>
          <w:p w14:paraId="7955268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570625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9D3F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129" w:type="dxa"/>
            <w:shd w:val="clear" w:color="auto" w:fill="auto"/>
            <w:vAlign w:val="center"/>
          </w:tcPr>
          <w:p w14:paraId="474781C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1.空气声计权隔声量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：≥45dB</w:t>
            </w:r>
          </w:p>
          <w:p w14:paraId="7799303B">
            <w:pPr>
              <w:spacing w:line="240" w:lineRule="auto"/>
              <w:ind w:firstLine="0" w:firstLineChars="0"/>
              <w:rPr>
                <w:rFonts w:cs="Times New Roman"/>
                <w:color w:val="000000" w:themeColor="text1"/>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2.耐火极限</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：≥2.0h</w:t>
            </w:r>
          </w:p>
        </w:tc>
        <w:tc>
          <w:tcPr>
            <w:tcW w:w="4085" w:type="dxa"/>
            <w:shd w:val="clear" w:color="auto" w:fill="auto"/>
            <w:vAlign w:val="center"/>
          </w:tcPr>
          <w:p w14:paraId="6AE15EF8">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1.面密度：≤300</w:t>
            </w:r>
            <w:r>
              <w:rPr>
                <w:rFonts w:cs="Times New Roman"/>
                <w:color w:val="000000" w:themeColor="text1"/>
                <w:kern w:val="0"/>
                <w:sz w:val="18"/>
                <w:szCs w:val="18"/>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kg/m</w:t>
            </w:r>
            <w:r>
              <w:rPr>
                <w:rFonts w:cs="Times New Roman" w:eastAsiaTheme="minorEastAsia"/>
                <w:color w:val="000000" w:themeColor="text1"/>
                <w:sz w:val="24"/>
                <w:szCs w:val="24"/>
                <w:vertAlign w:val="superscript"/>
                <w14:textFill>
                  <w14:solidFill>
                    <w14:schemeClr w14:val="tx1"/>
                  </w14:solidFill>
                </w14:textFill>
              </w:rPr>
              <w:t>2</w:t>
            </w:r>
          </w:p>
          <w:p w14:paraId="41CB331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2.抗弯荷载（自重倍数）：≥2</w:t>
            </w:r>
          </w:p>
          <w:p w14:paraId="55DBD96E">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3.抗冲击强度：≥10次</w:t>
            </w:r>
          </w:p>
          <w:p w14:paraId="0142D06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4.耐冻融性能</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：80次冻融循环后，无空鼓、脱落，无渗水裂缝</w:t>
            </w:r>
          </w:p>
        </w:tc>
      </w:tr>
      <w:tr w14:paraId="75327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8214" w:type="dxa"/>
            <w:gridSpan w:val="2"/>
            <w:shd w:val="clear" w:color="auto" w:fill="auto"/>
          </w:tcPr>
          <w:p w14:paraId="0519B94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10232；</w:t>
            </w:r>
          </w:p>
          <w:p w14:paraId="485A7E61">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应选用墙板厚度≤250mm的产品进行评价检测；</w:t>
            </w:r>
          </w:p>
          <w:p w14:paraId="33E77C41">
            <w:pPr>
              <w:spacing w:line="240" w:lineRule="auto"/>
              <w:ind w:firstLine="48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夏热冬暖地区、温和地区不评价此项。</w:t>
            </w:r>
          </w:p>
        </w:tc>
      </w:tr>
    </w:tbl>
    <w:p w14:paraId="6F61F927">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2" w:name="_Toc186533250"/>
      <w:r>
        <w:rPr>
          <w:rFonts w:ascii="Times New Roman" w:hAnsi="Times New Roman" w:cs="Times New Roman" w:eastAsiaTheme="minorEastAsia"/>
          <w:color w:val="000000" w:themeColor="text1"/>
          <w14:textFill>
            <w14:solidFill>
              <w14:schemeClr w14:val="tx1"/>
            </w14:solidFill>
          </w14:textFill>
        </w:rPr>
        <w:t>5.1.3  防水卷材</w:t>
      </w:r>
      <w:bookmarkEnd w:id="42"/>
    </w:p>
    <w:p w14:paraId="682815A0">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（1）主要材料（系统）：改性沥青防水卷材。</w:t>
      </w:r>
    </w:p>
    <w:p w14:paraId="4B685C05">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材料性能要求见表30：</w:t>
      </w:r>
    </w:p>
    <w:p w14:paraId="1720679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表30</w:t>
      </w:r>
    </w:p>
    <w:tbl>
      <w:tblPr>
        <w:tblStyle w:val="21"/>
        <w:tblW w:w="8128"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1"/>
        <w:gridCol w:w="4077"/>
      </w:tblGrid>
      <w:tr w14:paraId="37174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14:paraId="7CDE7283">
            <w:pPr>
              <w:widowControl/>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92AAA7B">
            <w:pPr>
              <w:widowControl/>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14:paraId="4C235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3990" w:type="dxa"/>
            <w:shd w:val="clear" w:color="auto" w:fill="auto"/>
          </w:tcPr>
          <w:p w14:paraId="42742779">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1.弹性体改性沥青卷材沥青软化点</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≤130℃</w:t>
            </w:r>
          </w:p>
          <w:p w14:paraId="72A9C614">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2.塑性体改性沥青卷材沥青软化点</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≤145℃</w:t>
            </w:r>
          </w:p>
          <w:p w14:paraId="48C4C0C3">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3.不得添加列入附录B的有害物质</w:t>
            </w:r>
            <w:r>
              <w:rPr>
                <w:rFonts w:ascii="Times New Roman" w:cs="Times New Roman" w:eastAsiaTheme="minorEastAsia"/>
                <w:color w:val="000000" w:themeColor="text1"/>
                <w:sz w:val="24"/>
                <w:szCs w:val="24"/>
                <w:vertAlign w:val="superscript"/>
                <w14:textFill>
                  <w14:solidFill>
                    <w14:schemeClr w14:val="tx1"/>
                  </w14:solidFill>
                </w14:textFill>
              </w:rPr>
              <w:t>b</w:t>
            </w:r>
          </w:p>
        </w:tc>
        <w:tc>
          <w:tcPr>
            <w:tcW w:w="4138" w:type="dxa"/>
            <w:shd w:val="clear" w:color="auto" w:fill="auto"/>
            <w:vAlign w:val="center"/>
          </w:tcPr>
          <w:p w14:paraId="204FB557">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耐水性能：浸泡时间168h，拉伸强度保持率≥80%</w:t>
            </w:r>
          </w:p>
        </w:tc>
      </w:tr>
      <w:tr w14:paraId="1FE78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28" w:type="dxa"/>
            <w:gridSpan w:val="2"/>
            <w:shd w:val="clear" w:color="auto" w:fill="auto"/>
          </w:tcPr>
          <w:p w14:paraId="67026F87">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10038；</w:t>
            </w:r>
          </w:p>
          <w:p w14:paraId="032230B2">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    </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道桥等特殊用途不适用；</w:t>
            </w:r>
          </w:p>
          <w:p w14:paraId="54D611CF">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14:paraId="1F6FCE0E">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（2）主要材料（系统）：高分子防水卷材。</w:t>
      </w:r>
    </w:p>
    <w:p w14:paraId="527A5000">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材料性能要求见表31：</w:t>
      </w:r>
    </w:p>
    <w:p w14:paraId="04880BA4">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表31</w:t>
      </w:r>
    </w:p>
    <w:tbl>
      <w:tblPr>
        <w:tblStyle w:val="20"/>
        <w:tblW w:w="8128"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1"/>
        <w:gridCol w:w="4077"/>
      </w:tblGrid>
      <w:tr w14:paraId="45A73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trPr>
        <w:tc>
          <w:tcPr>
            <w:tcW w:w="4111" w:type="dxa"/>
            <w:shd w:val="clear" w:color="auto" w:fill="auto"/>
            <w:vAlign w:val="center"/>
          </w:tcPr>
          <w:p w14:paraId="1A330FB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F76CC59">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98F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 w:hRule="atLeast"/>
        </w:trPr>
        <w:tc>
          <w:tcPr>
            <w:tcW w:w="3991" w:type="dxa"/>
            <w:shd w:val="clear" w:color="auto" w:fill="auto"/>
            <w:vAlign w:val="center"/>
          </w:tcPr>
          <w:p w14:paraId="339F2CE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不得添加列入附录B的有害物质</w:t>
            </w:r>
            <w:r>
              <w:rPr>
                <w:rFonts w:cs="Times New Roman" w:eastAsiaTheme="minorEastAsia"/>
                <w:color w:val="000000" w:themeColor="text1"/>
                <w:sz w:val="24"/>
                <w:szCs w:val="24"/>
                <w:vertAlign w:val="superscript"/>
                <w14:textFill>
                  <w14:solidFill>
                    <w14:schemeClr w14:val="tx1"/>
                  </w14:solidFill>
                </w14:textFill>
              </w:rPr>
              <w:t>a</w:t>
            </w:r>
          </w:p>
        </w:tc>
        <w:tc>
          <w:tcPr>
            <w:tcW w:w="4137" w:type="dxa"/>
            <w:shd w:val="clear" w:color="auto" w:fill="auto"/>
            <w:vAlign w:val="center"/>
          </w:tcPr>
          <w:p w14:paraId="7962B77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1.近红外反射比</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≥80%</w:t>
            </w:r>
          </w:p>
          <w:p w14:paraId="228ABD6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2.太阳光反射比</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≥65%</w:t>
            </w:r>
          </w:p>
        </w:tc>
      </w:tr>
      <w:tr w14:paraId="28F0C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128" w:type="dxa"/>
            <w:gridSpan w:val="2"/>
            <w:shd w:val="clear" w:color="auto" w:fill="auto"/>
            <w:vAlign w:val="center"/>
          </w:tcPr>
          <w:p w14:paraId="6E8D894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10038；</w:t>
            </w:r>
          </w:p>
          <w:p w14:paraId="74CCEC35">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p w14:paraId="0AA02061">
            <w:pPr>
              <w:spacing w:line="240" w:lineRule="auto"/>
              <w:ind w:firstLine="48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适用于具有反射隔热功能的产品。</w:t>
            </w:r>
          </w:p>
        </w:tc>
      </w:tr>
    </w:tbl>
    <w:p w14:paraId="2ADE4249">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3" w:name="_Toc186533251"/>
      <w:r>
        <w:rPr>
          <w:rFonts w:ascii="Times New Roman" w:hAnsi="Times New Roman" w:cs="Times New Roman" w:eastAsiaTheme="minorEastAsia"/>
          <w:color w:val="000000" w:themeColor="text1"/>
          <w14:textFill>
            <w14:solidFill>
              <w14:schemeClr w14:val="tx1"/>
            </w14:solidFill>
          </w14:textFill>
        </w:rPr>
        <w:t>5.1.4  防水涂料</w:t>
      </w:r>
      <w:bookmarkEnd w:id="43"/>
    </w:p>
    <w:p w14:paraId="2EBCCD60">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（1）主要材料（系统）：水性防水涂料。</w:t>
      </w:r>
    </w:p>
    <w:p w14:paraId="28C650DA">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材料性能要求见表32：</w:t>
      </w:r>
    </w:p>
    <w:p w14:paraId="1F1E6EC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表32</w:t>
      </w:r>
    </w:p>
    <w:tbl>
      <w:tblPr>
        <w:tblStyle w:val="20"/>
        <w:tblW w:w="8114"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4"/>
      </w:tblGrid>
      <w:tr w14:paraId="6C4BF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8114" w:type="dxa"/>
            <w:shd w:val="clear" w:color="auto" w:fill="auto"/>
            <w:vAlign w:val="center"/>
          </w:tcPr>
          <w:p w14:paraId="3AE97132">
            <w:pPr>
              <w:widowControl/>
              <w:spacing w:line="240" w:lineRule="auto"/>
              <w:ind w:firstLine="0" w:firstLineChars="0"/>
              <w:jc w:val="center"/>
              <w:rPr>
                <w:rFonts w:cs="Times New Roman" w:eastAsiaTheme="minorEastAsia"/>
                <w:b/>
                <w:bCs/>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r>
      <w:tr w14:paraId="00F44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8114" w:type="dxa"/>
            <w:shd w:val="clear" w:color="auto" w:fill="auto"/>
            <w:vAlign w:val="center"/>
          </w:tcPr>
          <w:p w14:paraId="00736CC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1.挥发性有机化合物（VOC）≤50g/L（仅针对液料，结果按液体组分计算）</w:t>
            </w:r>
          </w:p>
          <w:p w14:paraId="50E0BEEC">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2.游离甲醛≤75mg/kg；氨≤500mg/kg；苯≤20mg/kg（仅针对液料，结果按液体组分计算）</w:t>
            </w:r>
          </w:p>
          <w:p w14:paraId="2408586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3.苯、甲苯、乙苯、二甲苯含量总和≤300mg/kg（仅针对液料，结果按液体组分计算）</w:t>
            </w:r>
          </w:p>
          <w:p w14:paraId="74FD7B9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w:t>
            </w:r>
            <w:bookmarkStart w:id="44" w:name="OLE_LINK13"/>
            <w:r>
              <w:rPr>
                <w:rFonts w:cs="Times New Roman" w:eastAsiaTheme="minorEastAsia"/>
                <w:color w:val="000000" w:themeColor="text1"/>
                <w:sz w:val="24"/>
                <w:szCs w:val="24"/>
                <w14:textFill>
                  <w14:solidFill>
                    <w14:schemeClr w14:val="tx1"/>
                  </w14:solidFill>
                </w14:textFill>
              </w:rPr>
              <w:t>可溶性重金属：</w:t>
            </w:r>
            <w:bookmarkEnd w:id="44"/>
            <w:r>
              <w:rPr>
                <w:rFonts w:cs="Times New Roman" w:eastAsiaTheme="minorEastAsia"/>
                <w:color w:val="000000" w:themeColor="text1"/>
                <w:sz w:val="24"/>
                <w:szCs w:val="24"/>
                <w14:textFill>
                  <w14:solidFill>
                    <w14:schemeClr w14:val="tx1"/>
                  </w14:solidFill>
                </w14:textFill>
              </w:rPr>
              <w:t>铅≤30mg/kg；镉≤30mg/kg；铬≤40mg/kg；汞≤10mg/kg（仅针对粉料组合）</w:t>
            </w:r>
          </w:p>
          <w:p w14:paraId="2F2DA4E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5.不得添加列入附录B的有害物质</w:t>
            </w:r>
            <w:r>
              <w:rPr>
                <w:rFonts w:cs="Times New Roman" w:eastAsiaTheme="minorEastAsia"/>
                <w:color w:val="000000" w:themeColor="text1"/>
                <w:sz w:val="24"/>
                <w:szCs w:val="24"/>
                <w:vertAlign w:val="superscript"/>
                <w14:textFill>
                  <w14:solidFill>
                    <w14:schemeClr w14:val="tx1"/>
                  </w14:solidFill>
                </w14:textFill>
              </w:rPr>
              <w:t>a</w:t>
            </w:r>
          </w:p>
        </w:tc>
      </w:tr>
      <w:tr w14:paraId="24389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14" w:type="dxa"/>
            <w:shd w:val="clear" w:color="auto" w:fill="auto"/>
            <w:vAlign w:val="center"/>
          </w:tcPr>
          <w:p w14:paraId="72A5345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10040；</w:t>
            </w:r>
          </w:p>
          <w:p w14:paraId="56805BA1">
            <w:pPr>
              <w:spacing w:line="240" w:lineRule="auto"/>
              <w:ind w:firstLine="48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14:paraId="7245FD65">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（2）主要材料（系统）：高固含量型防水涂料。</w:t>
      </w:r>
    </w:p>
    <w:p w14:paraId="7CD11C04">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材料性能要求见表33：</w:t>
      </w:r>
    </w:p>
    <w:p w14:paraId="4E8B7C23">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表33</w:t>
      </w:r>
    </w:p>
    <w:tbl>
      <w:tblPr>
        <w:tblStyle w:val="20"/>
        <w:tblW w:w="814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0"/>
        <w:gridCol w:w="4073"/>
      </w:tblGrid>
      <w:tr w14:paraId="0BE84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14:paraId="12E47BF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4" w:type="dxa"/>
            <w:shd w:val="clear" w:color="auto" w:fill="auto"/>
            <w:vAlign w:val="center"/>
          </w:tcPr>
          <w:p w14:paraId="250B578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EA91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029" w:type="dxa"/>
            <w:shd w:val="clear" w:color="auto" w:fill="auto"/>
            <w:vAlign w:val="center"/>
          </w:tcPr>
          <w:p w14:paraId="714DBC6C">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1.挥发性有机化合物（VOC）：单组分≤100g/L；多组分≤50g/L；</w:t>
            </w:r>
          </w:p>
          <w:p w14:paraId="2BB4A478">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2.苯≤100mg/kg；甲苯、乙苯、二甲苯含量总和≤1000mg/kg</w:t>
            </w:r>
          </w:p>
          <w:p w14:paraId="1609313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3.苯酚≤100mg/kg；蒽≤10mg/kg；萘≤200mg/kg；游离甲苯二异氰酸酯（TDI）≤3mg/kg；（仅适用于聚氨酯类防水涂料）</w:t>
            </w:r>
            <w:r>
              <w:rPr>
                <w:rFonts w:cs="Times New Roman" w:eastAsiaTheme="minorEastAsia"/>
                <w:color w:val="000000" w:themeColor="text1"/>
                <w:sz w:val="24"/>
                <w:szCs w:val="24"/>
                <w14:textFill>
                  <w14:solidFill>
                    <w14:schemeClr w14:val="tx1"/>
                  </w14:solidFill>
                </w14:textFill>
              </w:rPr>
              <w:br w:type="textWrapping"/>
            </w:r>
            <w:r>
              <w:rPr>
                <w:rFonts w:cs="Times New Roman" w:eastAsiaTheme="minorEastAsia"/>
                <w:color w:val="000000" w:themeColor="text1"/>
                <w:sz w:val="24"/>
                <w:szCs w:val="24"/>
                <w14:textFill>
                  <w14:solidFill>
                    <w14:schemeClr w14:val="tx1"/>
                  </w14:solidFill>
                </w14:textFill>
              </w:rPr>
              <w:t>4.可溶性重金属：铅≤30mg/kg；镉</w:t>
            </w:r>
            <w:r>
              <w:rPr>
                <w:rFonts w:cs="Times New Roman" w:eastAsiaTheme="minorEastAsia"/>
                <w:color w:val="000000" w:themeColor="text1"/>
                <w:w w:val="95"/>
                <w:sz w:val="24"/>
                <w:szCs w:val="24"/>
                <w14:textFill>
                  <w14:solidFill>
                    <w14:schemeClr w14:val="tx1"/>
                  </w14:solidFill>
                </w14:textFill>
              </w:rPr>
              <w:t>≤30mg/kg；铬≤40mg/kg；汞≤10mg/kg</w:t>
            </w:r>
          </w:p>
        </w:tc>
        <w:tc>
          <w:tcPr>
            <w:tcW w:w="4114" w:type="dxa"/>
            <w:shd w:val="clear" w:color="auto" w:fill="auto"/>
            <w:vAlign w:val="center"/>
          </w:tcPr>
          <w:p w14:paraId="1C12EBD1">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固体含量：单组分≥85%；多组分≥90%</w:t>
            </w:r>
          </w:p>
        </w:tc>
      </w:tr>
      <w:tr w14:paraId="4D07B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3" w:type="dxa"/>
            <w:gridSpan w:val="2"/>
            <w:shd w:val="clear" w:color="auto" w:fill="auto"/>
            <w:vAlign w:val="center"/>
          </w:tcPr>
          <w:p w14:paraId="604A74F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10040。</w:t>
            </w:r>
          </w:p>
        </w:tc>
      </w:tr>
    </w:tbl>
    <w:p w14:paraId="39765B44">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5" w:name="_Toc186533252"/>
      <w:r>
        <w:rPr>
          <w:rFonts w:ascii="Times New Roman" w:hAnsi="Times New Roman" w:cs="Times New Roman" w:eastAsiaTheme="minorEastAsia"/>
          <w:color w:val="000000" w:themeColor="text1"/>
          <w14:textFill>
            <w14:solidFill>
              <w14:schemeClr w14:val="tx1"/>
            </w14:solidFill>
          </w14:textFill>
        </w:rPr>
        <w:t>5.1.5  防火涂料</w:t>
      </w:r>
      <w:bookmarkEnd w:id="45"/>
    </w:p>
    <w:p w14:paraId="79985309">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（1）主要材料（系统）：钢结构防火涂料。</w:t>
      </w:r>
    </w:p>
    <w:p w14:paraId="48913B0F">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材料性能要求见表34：</w:t>
      </w:r>
    </w:p>
    <w:p w14:paraId="2C6384D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表34</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1BC5E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66F815C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62C9493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0E5BA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387BC5E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1.挥发性有机化合物含量：≤70g/L</w:t>
            </w:r>
          </w:p>
          <w:p w14:paraId="53ABD44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2.游离甲醛含量：≤50mg/kg</w:t>
            </w:r>
          </w:p>
          <w:p w14:paraId="2BA1150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3.苯、甲苯、乙苯、二甲苯总和：≤0.25g/kg</w:t>
            </w:r>
          </w:p>
          <w:p w14:paraId="43C76229">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color w:val="000000" w:themeColor="text1"/>
                <w:sz w:val="24"/>
                <w:szCs w:val="24"/>
                <w14:textFill>
                  <w14:solidFill>
                    <w14:schemeClr w14:val="tx1"/>
                  </w14:solidFill>
                </w14:textFill>
              </w:rPr>
              <w:t>铅≤70mg/kg；镉≤60mg/kg；六价铬≤50mg/kg；汞≤50mg/kg</w:t>
            </w:r>
          </w:p>
        </w:tc>
        <w:tc>
          <w:tcPr>
            <w:tcW w:w="4086" w:type="dxa"/>
            <w:shd w:val="clear" w:color="auto" w:fill="auto"/>
            <w:vAlign w:val="center"/>
          </w:tcPr>
          <w:p w14:paraId="28719718">
            <w:pPr>
              <w:spacing w:line="240" w:lineRule="auto"/>
              <w:ind w:firstLine="0" w:firstLineChars="0"/>
              <w:jc w:val="left"/>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1.粘结强度实测值与设计值的比值≥1.0</w:t>
            </w:r>
          </w:p>
          <w:p w14:paraId="0AD4D82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2.耐人工老化性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14:paraId="1E1F0AE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耐紫外线辐照性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：60次试验后，涂层应无起层、开裂、粉化现象，且隔热效率衰减量应≤35%</w:t>
            </w:r>
          </w:p>
          <w:p w14:paraId="54D5647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外观：不起泡、不剥落、无裂纹</w:t>
            </w:r>
          </w:p>
          <w:p w14:paraId="0C951A3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粉化：0级</w:t>
            </w:r>
          </w:p>
          <w:p w14:paraId="7010DB0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3.耐火性能：膨胀型</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≥1.0h，非膨胀型</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≥2.0h</w:t>
            </w:r>
          </w:p>
        </w:tc>
      </w:tr>
      <w:tr w14:paraId="45AB9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161A0DF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10254；</w:t>
            </w:r>
          </w:p>
          <w:p w14:paraId="5217129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涂层厚度不应小于1.5mm；</w:t>
            </w:r>
          </w:p>
          <w:p w14:paraId="5D366D6D">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仅适用于室外型；</w:t>
            </w:r>
          </w:p>
          <w:p w14:paraId="456DF68D">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涂层厚度不应小于15mm。</w:t>
            </w:r>
          </w:p>
        </w:tc>
      </w:tr>
    </w:tbl>
    <w:p w14:paraId="16557E76">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（2）主要材料（系统）：饰面型防火涂料。</w:t>
      </w:r>
    </w:p>
    <w:p w14:paraId="0C413355">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材料性能要求见表35：</w:t>
      </w:r>
    </w:p>
    <w:p w14:paraId="451B5DE2">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表35</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34EB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14:paraId="0F2B366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073EAD9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03D06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043" w:type="dxa"/>
            <w:shd w:val="clear" w:color="auto" w:fill="auto"/>
            <w:vAlign w:val="center"/>
          </w:tcPr>
          <w:p w14:paraId="283F272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1.挥发性有机化合物含量：≤70g/L</w:t>
            </w:r>
          </w:p>
          <w:p w14:paraId="1052674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2.游离甲醛含量：≤50mg/kg</w:t>
            </w:r>
          </w:p>
          <w:p w14:paraId="7087680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3.苯、甲苯、乙苯、二甲苯总和：≤0.25g/kg</w:t>
            </w:r>
          </w:p>
          <w:p w14:paraId="79ACE10C">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color w:val="000000" w:themeColor="text1"/>
                <w:sz w:val="24"/>
                <w:szCs w:val="24"/>
                <w14:textFill>
                  <w14:solidFill>
                    <w14:schemeClr w14:val="tx1"/>
                  </w14:solidFill>
                </w14:textFill>
              </w:rPr>
              <w:t>铅≤70mg/kg；镉≤60mg/kg；六价铬≤50mg/kg；汞≤50mg/kg</w:t>
            </w:r>
          </w:p>
        </w:tc>
        <w:tc>
          <w:tcPr>
            <w:tcW w:w="4086" w:type="dxa"/>
            <w:shd w:val="clear" w:color="auto" w:fill="auto"/>
            <w:vAlign w:val="center"/>
          </w:tcPr>
          <w:p w14:paraId="7549CE9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1.附着力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：1级</w:t>
            </w:r>
          </w:p>
          <w:p w14:paraId="1B8F3CF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2.耐燃时间：≥15min</w:t>
            </w:r>
          </w:p>
          <w:p w14:paraId="47D65D8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3.难燃性：试件燃烧的剩余长度平均值≥150mm，其中没有一个试件的燃烧剩余长度为0；每组试验通过热电偶所测得的平均烟气温度不超过200℃</w:t>
            </w:r>
          </w:p>
          <w:p w14:paraId="135F8CB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4.质量损失：≤5.0g</w:t>
            </w:r>
          </w:p>
          <w:p w14:paraId="606A4AF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5.炭化体积：≤25cm</w:t>
            </w:r>
            <w:r>
              <w:rPr>
                <w:rFonts w:cs="Times New Roman" w:eastAsiaTheme="minorEastAsia"/>
                <w:color w:val="000000" w:themeColor="text1"/>
                <w:sz w:val="24"/>
                <w:szCs w:val="24"/>
                <w:vertAlign w:val="superscript"/>
                <w14:textFill>
                  <w14:solidFill>
                    <w14:schemeClr w14:val="tx1"/>
                  </w14:solidFill>
                </w14:textFill>
              </w:rPr>
              <w:t>3</w:t>
            </w:r>
          </w:p>
        </w:tc>
      </w:tr>
      <w:tr w14:paraId="6ECB7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6311942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10254；</w:t>
            </w:r>
          </w:p>
          <w:p w14:paraId="7EDC115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适用于划圈法。</w:t>
            </w:r>
          </w:p>
        </w:tc>
      </w:tr>
    </w:tbl>
    <w:p w14:paraId="65DB6064">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6" w:name="_Toc186533253"/>
      <w:r>
        <w:rPr>
          <w:rFonts w:ascii="Times New Roman" w:hAnsi="Times New Roman" w:cs="Times New Roman" w:eastAsiaTheme="minorEastAsia"/>
          <w:color w:val="000000" w:themeColor="text1"/>
          <w14:textFill>
            <w14:solidFill>
              <w14:schemeClr w14:val="tx1"/>
            </w14:solidFill>
          </w14:textFill>
        </w:rPr>
        <w:t>5.1.6  刚性防水材料</w:t>
      </w:r>
      <w:bookmarkEnd w:id="46"/>
    </w:p>
    <w:p w14:paraId="1B4C2B6A">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主要材料（系统）：刚性防水材料。</w:t>
      </w:r>
    </w:p>
    <w:p w14:paraId="61977D91">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材料性能要求见表36：</w:t>
      </w:r>
    </w:p>
    <w:p w14:paraId="7EF6B816">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表36</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778B2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6FECF5E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84A048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6309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043" w:type="dxa"/>
            <w:shd w:val="clear" w:color="auto" w:fill="auto"/>
            <w:vAlign w:val="center"/>
          </w:tcPr>
          <w:p w14:paraId="38305B6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1.放射性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：内照射指数≤0.6；外照射指数≤0.6</w:t>
            </w:r>
          </w:p>
          <w:p w14:paraId="739F10DD">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2.氨≤0.1mg/m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；甲醛≤0.08mg/m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；苯≤0.02mg/m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；总挥发性有机化合物（TVOC）≤0.1mg/m</w:t>
            </w:r>
            <w:r>
              <w:rPr>
                <w:rFonts w:cs="Times New Roman" w:eastAsiaTheme="minorEastAsia"/>
                <w:color w:val="000000" w:themeColor="text1"/>
                <w:sz w:val="24"/>
                <w:szCs w:val="24"/>
                <w:vertAlign w:val="superscript"/>
                <w14:textFill>
                  <w14:solidFill>
                    <w14:schemeClr w14:val="tx1"/>
                  </w14:solidFill>
                </w14:textFill>
              </w:rPr>
              <w:t>3</w:t>
            </w:r>
          </w:p>
        </w:tc>
        <w:tc>
          <w:tcPr>
            <w:tcW w:w="4086" w:type="dxa"/>
            <w:shd w:val="clear" w:color="auto" w:fill="auto"/>
            <w:vAlign w:val="center"/>
          </w:tcPr>
          <w:p w14:paraId="6BD7984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1.拉伸粘结强度实测值与设计值的比值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≥1.05</w:t>
            </w:r>
          </w:p>
          <w:p w14:paraId="2FDAD33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2.抗压强度实测值与设计值的比值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≥1.05且≤2.00</w:t>
            </w:r>
          </w:p>
          <w:p w14:paraId="7094650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3.抗渗压力实测值与设计值的比值≥1.10</w:t>
            </w:r>
          </w:p>
        </w:tc>
      </w:tr>
      <w:tr w14:paraId="32A38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306A046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10247；</w:t>
            </w:r>
          </w:p>
          <w:p w14:paraId="35DBA18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不适用于渗透结晶型防水剂；</w:t>
            </w:r>
          </w:p>
          <w:p w14:paraId="4F5442C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此处设计值对应产品标准中该指标限值；当适用的产品标准未规定相关指标时，该产品不参评此指标。</w:t>
            </w:r>
          </w:p>
        </w:tc>
      </w:tr>
    </w:tbl>
    <w:p w14:paraId="4BDCEFD5">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7" w:name="_Toc186533254"/>
      <w:r>
        <w:rPr>
          <w:rFonts w:ascii="Times New Roman" w:hAnsi="Times New Roman" w:cs="Times New Roman" w:eastAsiaTheme="minorEastAsia"/>
          <w:color w:val="000000" w:themeColor="text1"/>
          <w14:textFill>
            <w14:solidFill>
              <w14:schemeClr w14:val="tx1"/>
            </w14:solidFill>
          </w14:textFill>
        </w:rPr>
        <w:t>5.1.7  防腐材料</w:t>
      </w:r>
      <w:bookmarkEnd w:id="47"/>
    </w:p>
    <w:p w14:paraId="5F58BE54">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（1）主要材料（系统）：防腐涂料。</w:t>
      </w:r>
    </w:p>
    <w:p w14:paraId="7EE0252D">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材料性能要求见表37：</w:t>
      </w:r>
    </w:p>
    <w:p w14:paraId="68144853">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表37</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13B5C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14:paraId="6E78FC6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28F237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B4C1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vMerge w:val="restart"/>
            <w:shd w:val="clear" w:color="auto" w:fill="auto"/>
            <w:vAlign w:val="center"/>
          </w:tcPr>
          <w:p w14:paraId="68CDBBE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：≤150g/L</w:t>
            </w:r>
          </w:p>
          <w:p w14:paraId="1A7945F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：≤80mg/kg</w:t>
            </w:r>
          </w:p>
          <w:p w14:paraId="3C97275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3.苯、甲苯、乙苯、二甲苯总和</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：≤70mg/kg</w:t>
            </w:r>
          </w:p>
          <w:p w14:paraId="15A11705">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r>
              <w:rPr>
                <w:rFonts w:cs="Times New Roman"/>
                <w:color w:val="000000" w:themeColor="text1"/>
                <w:sz w:val="24"/>
                <w:szCs w:val="24"/>
                <w14:textFill>
                  <w14:solidFill>
                    <w14:schemeClr w14:val="tx1"/>
                  </w14:solidFill>
                </w14:textFill>
              </w:rPr>
              <w:t>铅≤50mg/kg；镉≤40mg/kg；六价铬≤40mg/kg；汞≤40mg/kg</w:t>
            </w:r>
          </w:p>
        </w:tc>
        <w:tc>
          <w:tcPr>
            <w:tcW w:w="4086" w:type="dxa"/>
            <w:shd w:val="clear" w:color="auto" w:fill="auto"/>
            <w:vAlign w:val="center"/>
          </w:tcPr>
          <w:p w14:paraId="0E7ECCF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钢结构基材</w:t>
            </w:r>
          </w:p>
          <w:p w14:paraId="68CBAA3C">
            <w:pPr>
              <w:spacing w:line="240" w:lineRule="auto"/>
              <w:ind w:firstLine="0" w:firstLineChars="0"/>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1.耐盐雾：底漆</w:t>
            </w:r>
            <w:r>
              <w:rPr>
                <w:rFonts w:cs="Times New Roman" w:eastAsiaTheme="minorEastAsia"/>
                <w:color w:val="000000" w:themeColor="text1"/>
                <w:w w:val="95"/>
                <w:sz w:val="24"/>
                <w:szCs w:val="24"/>
                <w:vertAlign w:val="superscript"/>
                <w14:textFill>
                  <w14:solidFill>
                    <w14:schemeClr w14:val="tx1"/>
                  </w14:solidFill>
                </w14:textFill>
              </w:rPr>
              <w:t>b</w:t>
            </w:r>
            <w:r>
              <w:rPr>
                <w:rFonts w:cs="Times New Roman" w:eastAsiaTheme="minorEastAsia"/>
                <w:color w:val="000000" w:themeColor="text1"/>
                <w:w w:val="95"/>
                <w:sz w:val="24"/>
                <w:szCs w:val="24"/>
                <w14:textFill>
                  <w14:solidFill>
                    <w14:schemeClr w14:val="tx1"/>
                  </w14:solidFill>
                </w14:textFill>
              </w:rPr>
              <w:t>≥600h，面漆</w:t>
            </w:r>
            <w:r>
              <w:rPr>
                <w:rFonts w:cs="Times New Roman" w:eastAsiaTheme="minorEastAsia"/>
                <w:color w:val="000000" w:themeColor="text1"/>
                <w:w w:val="95"/>
                <w:sz w:val="24"/>
                <w:szCs w:val="24"/>
                <w:vertAlign w:val="superscript"/>
                <w14:textFill>
                  <w14:solidFill>
                    <w14:schemeClr w14:val="tx1"/>
                  </w14:solidFill>
                </w14:textFill>
              </w:rPr>
              <w:t>c</w:t>
            </w:r>
            <w:r>
              <w:rPr>
                <w:rFonts w:cs="Times New Roman" w:eastAsiaTheme="minorEastAsia"/>
                <w:color w:val="000000" w:themeColor="text1"/>
                <w:w w:val="95"/>
                <w:sz w:val="24"/>
                <w:szCs w:val="24"/>
                <w14:textFill>
                  <w14:solidFill>
                    <w14:schemeClr w14:val="tx1"/>
                  </w14:solidFill>
                </w14:textFill>
              </w:rPr>
              <w:t>≥1000h</w:t>
            </w:r>
          </w:p>
          <w:p w14:paraId="6D63D724">
            <w:pPr>
              <w:spacing w:line="240" w:lineRule="auto"/>
              <w:ind w:firstLine="0" w:firstLineChars="0"/>
              <w:rPr>
                <w:rFonts w:cs="Times New Roman" w:eastAsiaTheme="minorEastAsia"/>
                <w:color w:val="000000" w:themeColor="text1"/>
                <w:w w:val="96"/>
                <w:sz w:val="24"/>
                <w:szCs w:val="24"/>
                <w14:textFill>
                  <w14:solidFill>
                    <w14:schemeClr w14:val="tx1"/>
                  </w14:solidFill>
                </w14:textFill>
              </w:rPr>
            </w:pPr>
            <w:r>
              <w:rPr>
                <w:rFonts w:cs="Times New Roman" w:eastAsiaTheme="minorEastAsia"/>
                <w:color w:val="000000" w:themeColor="text1"/>
                <w:w w:val="96"/>
                <w:sz w:val="24"/>
                <w:szCs w:val="24"/>
                <w14:textFill>
                  <w14:solidFill>
                    <w14:schemeClr w14:val="tx1"/>
                  </w14:solidFill>
                </w14:textFill>
              </w:rPr>
              <w:t>2.附着力</w:t>
            </w:r>
            <w:r>
              <w:rPr>
                <w:rFonts w:cs="Times New Roman" w:eastAsiaTheme="minorEastAsia"/>
                <w:color w:val="000000" w:themeColor="text1"/>
                <w:w w:val="96"/>
                <w:sz w:val="24"/>
                <w:szCs w:val="24"/>
                <w:vertAlign w:val="superscript"/>
                <w14:textFill>
                  <w14:solidFill>
                    <w14:schemeClr w14:val="tx1"/>
                  </w14:solidFill>
                </w14:textFill>
              </w:rPr>
              <w:t>d</w:t>
            </w:r>
            <w:r>
              <w:rPr>
                <w:rFonts w:cs="Times New Roman" w:eastAsiaTheme="minorEastAsia"/>
                <w:color w:val="000000" w:themeColor="text1"/>
                <w:w w:val="96"/>
                <w:sz w:val="24"/>
                <w:szCs w:val="24"/>
                <w14:textFill>
                  <w14:solidFill>
                    <w14:schemeClr w14:val="tx1"/>
                  </w14:solidFill>
                </w14:textFill>
              </w:rPr>
              <w:t>：采用拉开法时，≥1.2MPa；采用划格法时，不低于0级</w:t>
            </w:r>
          </w:p>
          <w:p w14:paraId="045C56C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3.耐人工老化性</w:t>
            </w:r>
            <w:r>
              <w:rPr>
                <w:rFonts w:cs="Times New Roman" w:eastAsiaTheme="minorEastAsia"/>
                <w:color w:val="000000" w:themeColor="text1"/>
                <w:sz w:val="24"/>
                <w:szCs w:val="24"/>
                <w:vertAlign w:val="superscript"/>
                <w14:textFill>
                  <w14:solidFill>
                    <w14:schemeClr w14:val="tx1"/>
                  </w14:solidFill>
                </w14:textFill>
              </w:rPr>
              <w:t>e</w:t>
            </w:r>
            <w:r>
              <w:rPr>
                <w:rFonts w:cs="Times New Roman" w:eastAsiaTheme="minorEastAsia"/>
                <w:color w:val="000000" w:themeColor="text1"/>
                <w:sz w:val="24"/>
                <w:szCs w:val="24"/>
                <w14:textFill>
                  <w14:solidFill>
                    <w14:schemeClr w14:val="tx1"/>
                  </w14:solidFill>
                </w14:textFill>
              </w:rPr>
              <w:t>：</w:t>
            </w:r>
          </w:p>
          <w:p w14:paraId="0DB23A1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老化时间≥1000h，外观不起泡、不剥落、无裂纹，粉化≤1级，变色≤2级</w:t>
            </w:r>
          </w:p>
        </w:tc>
      </w:tr>
      <w:tr w14:paraId="3360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4043" w:type="dxa"/>
            <w:vMerge w:val="continue"/>
            <w:shd w:val="clear" w:color="auto" w:fill="auto"/>
            <w:vAlign w:val="center"/>
          </w:tcPr>
          <w:p w14:paraId="6E2B255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4086" w:type="dxa"/>
            <w:shd w:val="clear" w:color="auto" w:fill="auto"/>
            <w:vAlign w:val="center"/>
          </w:tcPr>
          <w:p w14:paraId="6BC6EDE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混凝土基材</w:t>
            </w:r>
          </w:p>
          <w:p w14:paraId="20EC8497">
            <w:pPr>
              <w:spacing w:line="240" w:lineRule="auto"/>
              <w:ind w:firstLine="0" w:firstLineChars="0"/>
              <w:rPr>
                <w:rFonts w:cs="Times New Roman" w:eastAsiaTheme="minorEastAsia"/>
                <w:color w:val="000000" w:themeColor="text1"/>
                <w:w w:val="96"/>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w:t>
            </w:r>
            <w:r>
              <w:rPr>
                <w:rFonts w:cs="Times New Roman" w:eastAsiaTheme="minorEastAsia"/>
                <w:color w:val="000000" w:themeColor="text1"/>
                <w:w w:val="96"/>
                <w:sz w:val="24"/>
                <w:szCs w:val="24"/>
                <w14:textFill>
                  <w14:solidFill>
                    <w14:schemeClr w14:val="tx1"/>
                  </w14:solidFill>
                </w14:textFill>
              </w:rPr>
              <w:t>.附着力</w:t>
            </w:r>
            <w:r>
              <w:rPr>
                <w:rFonts w:cs="Times New Roman" w:eastAsiaTheme="minorEastAsia"/>
                <w:color w:val="000000" w:themeColor="text1"/>
                <w:w w:val="96"/>
                <w:sz w:val="24"/>
                <w:szCs w:val="24"/>
                <w:vertAlign w:val="superscript"/>
                <w14:textFill>
                  <w14:solidFill>
                    <w14:schemeClr w14:val="tx1"/>
                  </w14:solidFill>
                </w14:textFill>
              </w:rPr>
              <w:t>d</w:t>
            </w:r>
            <w:r>
              <w:rPr>
                <w:rFonts w:cs="Times New Roman" w:eastAsiaTheme="minorEastAsia"/>
                <w:color w:val="000000" w:themeColor="text1"/>
                <w:w w:val="96"/>
                <w:sz w:val="24"/>
                <w:szCs w:val="24"/>
                <w14:textFill>
                  <w14:solidFill>
                    <w14:schemeClr w14:val="tx1"/>
                  </w14:solidFill>
                </w14:textFill>
              </w:rPr>
              <w:t>：采用拉开法时，≥1.2MPa；采用划格法时，不低于1级</w:t>
            </w:r>
          </w:p>
          <w:p w14:paraId="1B3B6B1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2.耐人工老化性：老化时间≥1000h，外观不起泡、不剥落、无裂纹，粉化≤1级，变色≤2级</w:t>
            </w:r>
          </w:p>
          <w:p w14:paraId="557D2990">
            <w:pPr>
              <w:spacing w:line="240" w:lineRule="auto"/>
              <w:ind w:firstLine="0" w:firstLineChars="0"/>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抗氯离子渗透性：≤5.0×10</w:t>
            </w:r>
            <w:r>
              <w:rPr>
                <w:rFonts w:cs="Times New Roman" w:eastAsiaTheme="minorEastAsia"/>
                <w:color w:val="000000" w:themeColor="text1"/>
                <w:w w:val="95"/>
                <w:sz w:val="24"/>
                <w:szCs w:val="24"/>
                <w:vertAlign w:val="superscript"/>
                <w14:textFill>
                  <w14:solidFill>
                    <w14:schemeClr w14:val="tx1"/>
                  </w14:solidFill>
                </w14:textFill>
              </w:rPr>
              <w:t>-3</w:t>
            </w:r>
            <w:r>
              <w:rPr>
                <w:rFonts w:cs="Times New Roman" w:eastAsiaTheme="minorEastAsia"/>
                <w:color w:val="000000" w:themeColor="text1"/>
                <w:w w:val="95"/>
                <w:sz w:val="24"/>
                <w:szCs w:val="24"/>
                <w14:textFill>
                  <w14:solidFill>
                    <w14:schemeClr w14:val="tx1"/>
                  </w14:solidFill>
                </w14:textFill>
              </w:rPr>
              <w:t>mg/(cm</w:t>
            </w:r>
            <w:r>
              <w:rPr>
                <w:rFonts w:cs="Times New Roman" w:eastAsiaTheme="minorEastAsia"/>
                <w:color w:val="000000" w:themeColor="text1"/>
                <w:w w:val="95"/>
                <w:sz w:val="24"/>
                <w:szCs w:val="24"/>
                <w:vertAlign w:val="superscript"/>
                <w14:textFill>
                  <w14:solidFill>
                    <w14:schemeClr w14:val="tx1"/>
                  </w14:solidFill>
                </w14:textFill>
              </w:rPr>
              <w:t>2</w:t>
            </w:r>
            <w:r>
              <w:rPr>
                <w:rFonts w:cs="Times New Roman" w:eastAsiaTheme="minorEastAsia"/>
                <w:color w:val="000000" w:themeColor="text1"/>
                <w:w w:val="95"/>
                <w:sz w:val="24"/>
                <w:szCs w:val="24"/>
                <w14:textFill>
                  <w14:solidFill>
                    <w14:schemeClr w14:val="tx1"/>
                  </w14:solidFill>
                </w14:textFill>
              </w:rPr>
              <w:t>·d)</w:t>
            </w:r>
          </w:p>
        </w:tc>
      </w:tr>
      <w:tr w14:paraId="11CB8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22C2481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10255；</w:t>
            </w:r>
          </w:p>
          <w:p w14:paraId="629D3739">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针对配套涂层体系，要求底漆、中间漆、面漆分别都要满足相应指标的要求；</w:t>
            </w:r>
          </w:p>
          <w:p w14:paraId="1D0C8199">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底漆干膜厚度（100±10）μm；</w:t>
            </w:r>
          </w:p>
          <w:p w14:paraId="4767757F">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面漆耐盐雾指标针对涂层体系；</w:t>
            </w:r>
          </w:p>
          <w:p w14:paraId="425A5BF5">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d</w:t>
            </w:r>
            <w:r>
              <w:rPr>
                <w:rFonts w:cs="Times New Roman" w:eastAsiaTheme="minorEastAsia"/>
                <w:color w:val="000000" w:themeColor="text1"/>
                <w:sz w:val="24"/>
                <w:szCs w:val="24"/>
                <w14:textFill>
                  <w14:solidFill>
                    <w14:schemeClr w14:val="tx1"/>
                  </w14:solidFill>
                </w14:textFill>
              </w:rPr>
              <w:t>仅适用于面漆；</w:t>
            </w:r>
          </w:p>
          <w:p w14:paraId="3D23584C">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e</w:t>
            </w:r>
            <w:r>
              <w:rPr>
                <w:rFonts w:cs="Times New Roman" w:eastAsiaTheme="minorEastAsia"/>
                <w:color w:val="000000" w:themeColor="text1"/>
                <w:sz w:val="24"/>
                <w:szCs w:val="24"/>
                <w14:textFill>
                  <w14:solidFill>
                    <w14:schemeClr w14:val="tx1"/>
                  </w14:solidFill>
                </w14:textFill>
              </w:rPr>
              <w:t>针对涂层体系。</w:t>
            </w:r>
          </w:p>
        </w:tc>
      </w:tr>
    </w:tbl>
    <w:p w14:paraId="656111E6">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（2）主要材料（系统）：防腐砂浆。</w:t>
      </w:r>
    </w:p>
    <w:p w14:paraId="5A79EDE8">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材料性能要求见表38：</w:t>
      </w:r>
    </w:p>
    <w:p w14:paraId="1486C42D">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表38</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86"/>
      </w:tblGrid>
      <w:tr w14:paraId="005FB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043" w:type="dxa"/>
            <w:shd w:val="clear" w:color="auto" w:fill="auto"/>
            <w:vAlign w:val="center"/>
          </w:tcPr>
          <w:p w14:paraId="0B16848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086" w:type="dxa"/>
            <w:shd w:val="clear" w:color="auto" w:fill="auto"/>
            <w:vAlign w:val="center"/>
          </w:tcPr>
          <w:p w14:paraId="7D48286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07CC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6D2C68B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单位产品废水排放量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：≤0.05t/t</w:t>
            </w:r>
          </w:p>
        </w:tc>
        <w:tc>
          <w:tcPr>
            <w:tcW w:w="4086" w:type="dxa"/>
            <w:shd w:val="clear" w:color="auto" w:fill="auto"/>
            <w:vAlign w:val="center"/>
          </w:tcPr>
          <w:p w14:paraId="4D00885B">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1.强度指标：抗压强度≥1.2MPa，黏结强度≥1.2MPa</w:t>
            </w:r>
          </w:p>
          <w:p w14:paraId="009564F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2.耐久性：抗渗等级≥1.8MPa</w:t>
            </w:r>
          </w:p>
          <w:p w14:paraId="7432137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耐酸性介质</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（48h）：无裂纹、不起泡、不剥落、无变色</w:t>
            </w:r>
          </w:p>
          <w:p w14:paraId="7C2F3E0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耐盐类介质</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（7d）：不起泡、不剥落、无裂纹、无变色</w:t>
            </w:r>
          </w:p>
        </w:tc>
      </w:tr>
      <w:tr w14:paraId="30153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494C7A6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10255；</w:t>
            </w:r>
          </w:p>
          <w:p w14:paraId="0834E65E">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p w14:paraId="108617C3">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酸性介质指质量分数为10%的酸性溶液，如：硫酸、醋酸、柠檬酸、乳酸等；</w:t>
            </w:r>
          </w:p>
          <w:p w14:paraId="6986DDA3">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盐类介质指中等浓度以下的盐类溶液，如10%氯化钠溶液、饱和氯化铵、饱和硝酸铵、饱和硫酸铵等。</w:t>
            </w:r>
          </w:p>
        </w:tc>
      </w:tr>
    </w:tbl>
    <w:p w14:paraId="5989337A">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8" w:name="_Toc186533255"/>
      <w:r>
        <w:rPr>
          <w:rFonts w:ascii="Times New Roman" w:hAnsi="Times New Roman" w:cs="Times New Roman" w:eastAsiaTheme="minorEastAsia"/>
          <w:color w:val="000000" w:themeColor="text1"/>
          <w14:textFill>
            <w14:solidFill>
              <w14:schemeClr w14:val="tx1"/>
            </w14:solidFill>
          </w14:textFill>
        </w:rPr>
        <w:t>5.1.8  硅酮密封胶</w:t>
      </w:r>
      <w:bookmarkEnd w:id="48"/>
    </w:p>
    <w:p w14:paraId="10F74CD5">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（1）主要材料（系统）：建筑用硅酮结构密封胶。</w:t>
      </w:r>
    </w:p>
    <w:p w14:paraId="314CD2D6">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材料性能要求见表39：</w:t>
      </w:r>
    </w:p>
    <w:p w14:paraId="7B2833C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表39</w:t>
      </w:r>
    </w:p>
    <w:tbl>
      <w:tblPr>
        <w:tblStyle w:val="20"/>
        <w:tblW w:w="814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66"/>
      </w:tblGrid>
      <w:tr w14:paraId="0EF77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3D02F17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14:paraId="0E3CE63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E065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043" w:type="dxa"/>
            <w:shd w:val="clear" w:color="auto" w:fill="auto"/>
            <w:vAlign w:val="center"/>
          </w:tcPr>
          <w:p w14:paraId="71FC8632">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≤80g/kg</w:t>
            </w:r>
          </w:p>
          <w:p w14:paraId="3A3C3C5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2.烷烃增塑剂（红外光谱）不得检出</w:t>
            </w:r>
          </w:p>
        </w:tc>
        <w:tc>
          <w:tcPr>
            <w:tcW w:w="4100" w:type="dxa"/>
            <w:shd w:val="clear" w:color="auto" w:fill="auto"/>
            <w:vAlign w:val="center"/>
          </w:tcPr>
          <w:p w14:paraId="05BEC5C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1.23℃拉伸粘结强度标准值≥0.6MPa</w:t>
            </w:r>
          </w:p>
          <w:p w14:paraId="535A706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2.粘接破坏面积≤5%</w:t>
            </w:r>
          </w:p>
        </w:tc>
      </w:tr>
      <w:tr w14:paraId="6B533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3" w:type="dxa"/>
            <w:gridSpan w:val="2"/>
            <w:shd w:val="clear" w:color="auto" w:fill="auto"/>
            <w:vAlign w:val="center"/>
          </w:tcPr>
          <w:p w14:paraId="4BF237F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14:paraId="16A2B11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单双组分密封胶均需测试，当测试双组分密封胶时，应将A组分和B组分密封胶按配比混合后立即进行测试。</w:t>
            </w:r>
          </w:p>
        </w:tc>
      </w:tr>
    </w:tbl>
    <w:p w14:paraId="6F0366C7">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（2）主要材料（系统）：建筑用硅酮密封胶。</w:t>
      </w:r>
    </w:p>
    <w:p w14:paraId="3A967C03">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材料性能要求见表40：</w:t>
      </w:r>
    </w:p>
    <w:p w14:paraId="1BA1464F">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表40</w:t>
      </w:r>
    </w:p>
    <w:tbl>
      <w:tblPr>
        <w:tblStyle w:val="20"/>
        <w:tblW w:w="8157"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073"/>
      </w:tblGrid>
      <w:tr w14:paraId="7C68F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4111" w:type="dxa"/>
            <w:shd w:val="clear" w:color="auto" w:fill="auto"/>
            <w:vAlign w:val="center"/>
          </w:tcPr>
          <w:p w14:paraId="30EEA88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14:paraId="134E84C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0E68F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057" w:type="dxa"/>
            <w:shd w:val="clear" w:color="auto" w:fill="auto"/>
            <w:vAlign w:val="center"/>
          </w:tcPr>
          <w:p w14:paraId="5910C73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1.单位产品总挥发性有机化合物（TVOC）含量≤80g/kg</w:t>
            </w:r>
          </w:p>
          <w:p w14:paraId="0EB40DA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2.烷烃增塑剂（红外光谱）不得检出</w:t>
            </w:r>
          </w:p>
        </w:tc>
        <w:tc>
          <w:tcPr>
            <w:tcW w:w="4100" w:type="dxa"/>
            <w:shd w:val="clear" w:color="auto" w:fill="auto"/>
            <w:vAlign w:val="center"/>
          </w:tcPr>
          <w:p w14:paraId="14B0F51B">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密封胶分级达到20HM、25HM、20LM</w:t>
            </w:r>
          </w:p>
        </w:tc>
      </w:tr>
      <w:tr w14:paraId="1165E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vAlign w:val="center"/>
          </w:tcPr>
          <w:p w14:paraId="3F5FE85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14:paraId="441FCA1F">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（3）主要材料（系统）：中空玻璃用硅酮密封胶。</w:t>
      </w:r>
    </w:p>
    <w:p w14:paraId="14563344">
      <w:pPr>
        <w:spacing w:line="588" w:lineRule="exact"/>
        <w:ind w:firstLine="560"/>
        <w:rPr>
          <w:rFonts w:cs="Times New Roman"/>
          <w:color w:val="000000" w:themeColor="text1"/>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材料性能要求见表41：</w:t>
      </w:r>
    </w:p>
    <w:p w14:paraId="41E88206">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表41</w:t>
      </w:r>
    </w:p>
    <w:tbl>
      <w:tblPr>
        <w:tblStyle w:val="20"/>
        <w:tblW w:w="8171" w:type="dxa"/>
        <w:tblInd w:w="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94"/>
      </w:tblGrid>
      <w:tr w14:paraId="2F288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7823423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28" w:type="dxa"/>
            <w:shd w:val="clear" w:color="auto" w:fill="auto"/>
            <w:vAlign w:val="center"/>
          </w:tcPr>
          <w:p w14:paraId="0548635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7C26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180013F2">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≤80g/kg</w:t>
            </w:r>
          </w:p>
          <w:p w14:paraId="5E29767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2.烷烃增塑剂（红外光谱）不得检出</w:t>
            </w:r>
          </w:p>
        </w:tc>
        <w:tc>
          <w:tcPr>
            <w:tcW w:w="4128" w:type="dxa"/>
            <w:shd w:val="clear" w:color="auto" w:fill="auto"/>
            <w:vAlign w:val="center"/>
          </w:tcPr>
          <w:p w14:paraId="7BEDD39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1.拉伸粘结强度标准值≥0.6MPa</w:t>
            </w:r>
          </w:p>
          <w:p w14:paraId="5646F7A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2.粘结破坏面积≤10%</w:t>
            </w:r>
          </w:p>
        </w:tc>
      </w:tr>
      <w:tr w14:paraId="5064C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71" w:type="dxa"/>
            <w:gridSpan w:val="2"/>
            <w:shd w:val="clear" w:color="auto" w:fill="auto"/>
            <w:vAlign w:val="center"/>
          </w:tcPr>
          <w:p w14:paraId="3CEB886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14:paraId="2543C88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单双组分密封胶均需测试，当测试双组分密封胶时，应将A组分和B组分密封胶按配比混合后立即进行测试。</w:t>
            </w:r>
          </w:p>
        </w:tc>
      </w:tr>
    </w:tbl>
    <w:p w14:paraId="32B37E94">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（4）主要材料（系统）：中空玻璃用硅酮结构密封胶。</w:t>
      </w:r>
    </w:p>
    <w:p w14:paraId="645F1B23">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材料性能要求见表42：</w:t>
      </w:r>
    </w:p>
    <w:p w14:paraId="7EEE2521">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表42</w:t>
      </w:r>
    </w:p>
    <w:tbl>
      <w:tblPr>
        <w:tblStyle w:val="20"/>
        <w:tblW w:w="8157"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080"/>
      </w:tblGrid>
      <w:tr w14:paraId="6058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62438EC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4" w:type="dxa"/>
            <w:shd w:val="clear" w:color="auto" w:fill="auto"/>
            <w:vAlign w:val="center"/>
          </w:tcPr>
          <w:p w14:paraId="398D1B1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6C934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4043" w:type="dxa"/>
            <w:shd w:val="clear" w:color="auto" w:fill="auto"/>
            <w:vAlign w:val="center"/>
          </w:tcPr>
          <w:p w14:paraId="3858D05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≤80g/kg</w:t>
            </w:r>
          </w:p>
        </w:tc>
        <w:tc>
          <w:tcPr>
            <w:tcW w:w="4114" w:type="dxa"/>
            <w:shd w:val="clear" w:color="auto" w:fill="auto"/>
            <w:vAlign w:val="center"/>
          </w:tcPr>
          <w:p w14:paraId="7425F22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1.拉伸粘结强度标准值≥0.6MPa</w:t>
            </w:r>
          </w:p>
          <w:p w14:paraId="0A6F2F9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2.粘结破坏面积≤5%</w:t>
            </w:r>
          </w:p>
        </w:tc>
      </w:tr>
      <w:tr w14:paraId="3CD2E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vAlign w:val="center"/>
          </w:tcPr>
          <w:p w14:paraId="3480883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14:paraId="4296851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单双组分密封胶均需测试，当测试双组分密封胶时，应将A组分和B组分密封胶按配比混合后立即进行测试。</w:t>
            </w:r>
          </w:p>
        </w:tc>
      </w:tr>
    </w:tbl>
    <w:p w14:paraId="6941706B">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49" w:name="_Toc186533256"/>
      <w:r>
        <w:rPr>
          <w:rFonts w:ascii="Times New Roman" w:hAnsi="Times New Roman" w:cs="Times New Roman" w:eastAsiaTheme="minorEastAsia"/>
          <w:color w:val="000000" w:themeColor="text1"/>
          <w14:textFill>
            <w14:solidFill>
              <w14:schemeClr w14:val="tx1"/>
            </w14:solidFill>
          </w14:textFill>
        </w:rPr>
        <w:t>5.1.9  其他密封胶</w:t>
      </w:r>
      <w:bookmarkEnd w:id="49"/>
    </w:p>
    <w:p w14:paraId="7F8E2081">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（1）主要材料（系统）：中空玻璃用丁基热熔密封胶。</w:t>
      </w:r>
    </w:p>
    <w:p w14:paraId="45B82A3F">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材料性能要求见表43：</w:t>
      </w:r>
    </w:p>
    <w:p w14:paraId="55B0AB3D">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表43</w:t>
      </w:r>
    </w:p>
    <w:tbl>
      <w:tblPr>
        <w:tblStyle w:val="20"/>
        <w:tblW w:w="8114"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14:paraId="5AAEE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14:paraId="26DE104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E41AFD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7D7F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4028" w:type="dxa"/>
            <w:shd w:val="clear" w:color="auto" w:fill="auto"/>
            <w:vAlign w:val="center"/>
          </w:tcPr>
          <w:p w14:paraId="0CCA6802">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新鲜水消耗量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≤0.70t/t</w:t>
            </w:r>
          </w:p>
        </w:tc>
        <w:tc>
          <w:tcPr>
            <w:tcW w:w="4086" w:type="dxa"/>
            <w:shd w:val="clear" w:color="auto" w:fill="auto"/>
            <w:vAlign w:val="center"/>
          </w:tcPr>
          <w:p w14:paraId="51A0E52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1.剪切强度（标准试验条件）≥0.15MPa</w:t>
            </w:r>
          </w:p>
          <w:p w14:paraId="4868E852">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2.紫外线处理168h后剪切强度变化率≤20%</w:t>
            </w:r>
          </w:p>
          <w:p w14:paraId="771880D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3.水蒸气透过率≤0.8g/m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·d</w:t>
            </w:r>
          </w:p>
        </w:tc>
      </w:tr>
      <w:tr w14:paraId="2E699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114" w:type="dxa"/>
            <w:gridSpan w:val="2"/>
            <w:shd w:val="clear" w:color="auto" w:fill="auto"/>
            <w:vAlign w:val="center"/>
          </w:tcPr>
          <w:p w14:paraId="0EEE1FCE">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p w14:paraId="78B5268C">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14:paraId="3A931072">
      <w:pPr>
        <w:spacing w:line="588" w:lineRule="atLeas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（2）主要材料（系统）：建筑用聚氨酯密封胶。</w:t>
      </w:r>
    </w:p>
    <w:p w14:paraId="6C3B9AA0">
      <w:pPr>
        <w:spacing w:line="588" w:lineRule="atLeas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材料性能要求见表44：</w:t>
      </w:r>
    </w:p>
    <w:p w14:paraId="23E9A54F">
      <w:pPr>
        <w:spacing w:line="588" w:lineRule="atLeas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表44</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63387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111" w:type="dxa"/>
            <w:shd w:val="clear" w:color="auto" w:fill="auto"/>
            <w:vAlign w:val="center"/>
          </w:tcPr>
          <w:p w14:paraId="62A13922">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C28FBA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BD9B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43" w:type="dxa"/>
            <w:shd w:val="clear" w:color="auto" w:fill="auto"/>
            <w:vAlign w:val="center"/>
          </w:tcPr>
          <w:p w14:paraId="781AF775">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1.单位产品总挥发性有机化合物（TVOC）含量≤50g/kg</w:t>
            </w:r>
          </w:p>
          <w:p w14:paraId="681D07FB">
            <w:pPr>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2.苯≤1g/kg；甲苯≤1g/kg</w:t>
            </w:r>
          </w:p>
          <w:p w14:paraId="65354071">
            <w:pPr>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3.甲苯二异氰酸酯≤6g/kg</w:t>
            </w:r>
          </w:p>
        </w:tc>
        <w:tc>
          <w:tcPr>
            <w:tcW w:w="4086" w:type="dxa"/>
            <w:shd w:val="clear" w:color="auto" w:fill="auto"/>
            <w:vAlign w:val="center"/>
          </w:tcPr>
          <w:p w14:paraId="621EC3FD">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1.密封胶分级达到20LM</w:t>
            </w:r>
          </w:p>
          <w:p w14:paraId="6D30D583">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2.质量损失率≤5%</w:t>
            </w:r>
          </w:p>
          <w:p w14:paraId="09ADAD9D">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3.弹性恢复率≥80%</w:t>
            </w:r>
          </w:p>
        </w:tc>
      </w:tr>
      <w:tr w14:paraId="02FE3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8129" w:type="dxa"/>
            <w:gridSpan w:val="2"/>
            <w:shd w:val="clear" w:color="auto" w:fill="auto"/>
            <w:vAlign w:val="center"/>
          </w:tcPr>
          <w:p w14:paraId="083C7047">
            <w:pPr>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14:paraId="3F41971F">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（3）主要材料（系统）：建筑用聚硫密封胶。</w:t>
      </w:r>
    </w:p>
    <w:p w14:paraId="4B8BEB38">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材料性能要求见表45：</w:t>
      </w:r>
    </w:p>
    <w:p w14:paraId="787123F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表45</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5A443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14:paraId="52B6940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D7DBAF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D586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43" w:type="dxa"/>
            <w:shd w:val="clear" w:color="auto" w:fill="auto"/>
            <w:vAlign w:val="center"/>
          </w:tcPr>
          <w:p w14:paraId="7D98725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单位产品总挥发性有机化合物（TVOC）含量≤50g/kg</w:t>
            </w:r>
          </w:p>
        </w:tc>
        <w:tc>
          <w:tcPr>
            <w:tcW w:w="4086" w:type="dxa"/>
            <w:shd w:val="clear" w:color="auto" w:fill="auto"/>
            <w:vAlign w:val="center"/>
          </w:tcPr>
          <w:p w14:paraId="1D95647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1.密封胶分级达到20LM</w:t>
            </w:r>
          </w:p>
          <w:p w14:paraId="06388957">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2.质量损失率≤4%</w:t>
            </w:r>
          </w:p>
          <w:p w14:paraId="75F88F4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3.弹性恢复率≥80%</w:t>
            </w:r>
          </w:p>
        </w:tc>
      </w:tr>
      <w:tr w14:paraId="22701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 w:hRule="atLeast"/>
        </w:trPr>
        <w:tc>
          <w:tcPr>
            <w:tcW w:w="8129" w:type="dxa"/>
            <w:gridSpan w:val="2"/>
            <w:shd w:val="clear" w:color="auto" w:fill="auto"/>
            <w:vAlign w:val="center"/>
          </w:tcPr>
          <w:p w14:paraId="01A23CD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14:paraId="2730E0BE">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（4）主要材料（系统）：建筑用硅烷封端聚醚密封胶。</w:t>
      </w:r>
    </w:p>
    <w:p w14:paraId="58BB73D2">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材料性能要求见表46：</w:t>
      </w:r>
    </w:p>
    <w:p w14:paraId="47CBF318">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表46</w:t>
      </w:r>
    </w:p>
    <w:tbl>
      <w:tblPr>
        <w:tblStyle w:val="20"/>
        <w:tblW w:w="8157"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073"/>
      </w:tblGrid>
      <w:tr w14:paraId="5ED69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4111" w:type="dxa"/>
            <w:shd w:val="clear" w:color="auto" w:fill="auto"/>
            <w:vAlign w:val="center"/>
          </w:tcPr>
          <w:p w14:paraId="74307DE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14:paraId="1B4D0C41">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3B9F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 w:hRule="atLeast"/>
        </w:trPr>
        <w:tc>
          <w:tcPr>
            <w:tcW w:w="4057" w:type="dxa"/>
            <w:shd w:val="clear" w:color="auto" w:fill="auto"/>
            <w:vAlign w:val="center"/>
          </w:tcPr>
          <w:p w14:paraId="49204C57">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单位产品总挥发性有机化合物（TVOC）含量≤50g/kg</w:t>
            </w:r>
          </w:p>
        </w:tc>
        <w:tc>
          <w:tcPr>
            <w:tcW w:w="4100" w:type="dxa"/>
            <w:shd w:val="clear" w:color="auto" w:fill="auto"/>
            <w:vAlign w:val="center"/>
          </w:tcPr>
          <w:p w14:paraId="0907F644">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1.密封胶分级达到25HM、20LM</w:t>
            </w:r>
          </w:p>
          <w:p w14:paraId="494E9B7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2.质量损失率≤3%</w:t>
            </w:r>
          </w:p>
          <w:p w14:paraId="57F98A9F">
            <w:pPr>
              <w:spacing w:line="240" w:lineRule="auto"/>
              <w:ind w:firstLine="0" w:firstLineChars="0"/>
              <w:rPr>
                <w:rFonts w:cs="Times New Roman" w:eastAsiaTheme="minorEastAsia"/>
                <w:b/>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3.弹性恢复率≥70%</w:t>
            </w:r>
          </w:p>
        </w:tc>
      </w:tr>
      <w:tr w14:paraId="03B19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vAlign w:val="center"/>
          </w:tcPr>
          <w:p w14:paraId="6594320D">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10029。</w:t>
            </w:r>
          </w:p>
        </w:tc>
      </w:tr>
    </w:tbl>
    <w:p w14:paraId="1745D6C4">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0" w:name="_Toc186533257"/>
      <w:r>
        <w:rPr>
          <w:rFonts w:ascii="Times New Roman" w:hAnsi="Times New Roman" w:cs="Times New Roman" w:eastAsiaTheme="minorEastAsia"/>
          <w:color w:val="000000" w:themeColor="text1"/>
          <w14:textFill>
            <w14:solidFill>
              <w14:schemeClr w14:val="tx1"/>
            </w14:solidFill>
          </w14:textFill>
        </w:rPr>
        <w:t>5.1.10  遮阳产品</w:t>
      </w:r>
      <w:bookmarkEnd w:id="50"/>
    </w:p>
    <w:p w14:paraId="511C8687">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主要材料（系统）：建筑遮阳产品。</w:t>
      </w:r>
    </w:p>
    <w:p w14:paraId="290FC9C5">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材料性能要求见表47：</w:t>
      </w:r>
    </w:p>
    <w:p w14:paraId="3CE4901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表47</w:t>
      </w:r>
    </w:p>
    <w:tbl>
      <w:tblPr>
        <w:tblStyle w:val="20"/>
        <w:tblW w:w="8157"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9"/>
        <w:gridCol w:w="4078"/>
      </w:tblGrid>
      <w:tr w14:paraId="3ADB2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4111" w:type="dxa"/>
            <w:shd w:val="clear" w:color="auto" w:fill="auto"/>
            <w:vAlign w:val="center"/>
          </w:tcPr>
          <w:p w14:paraId="080EF23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890C3F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0EB3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72" w:type="dxa"/>
            <w:shd w:val="clear" w:color="auto" w:fill="auto"/>
          </w:tcPr>
          <w:p w14:paraId="30452CC4">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综合遮阳系数：外遮阳≤0.3；内遮阳≤0.5；内置遮阳中空玻璃制品≤0.3</w:t>
            </w:r>
          </w:p>
        </w:tc>
        <w:tc>
          <w:tcPr>
            <w:tcW w:w="4085" w:type="dxa"/>
            <w:shd w:val="clear" w:color="auto" w:fill="auto"/>
          </w:tcPr>
          <w:p w14:paraId="2B649791">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遮阳产品机械耐久性达到相应产品标准要求的最高级</w:t>
            </w:r>
          </w:p>
        </w:tc>
      </w:tr>
      <w:tr w14:paraId="02E97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57" w:type="dxa"/>
            <w:gridSpan w:val="2"/>
            <w:shd w:val="clear" w:color="auto" w:fill="auto"/>
          </w:tcPr>
          <w:p w14:paraId="6C084B9B">
            <w:pPr>
              <w:widowControl/>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50378、T/CECS 10033。</w:t>
            </w:r>
          </w:p>
        </w:tc>
      </w:tr>
    </w:tbl>
    <w:p w14:paraId="4A435DDF">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1" w:name="_Toc186533258"/>
      <w:r>
        <w:rPr>
          <w:rFonts w:ascii="Times New Roman" w:hAnsi="Times New Roman" w:cs="Times New Roman" w:eastAsiaTheme="minorEastAsia"/>
          <w:color w:val="000000" w:themeColor="text1"/>
          <w14:textFill>
            <w14:solidFill>
              <w14:schemeClr w14:val="tx1"/>
            </w14:solidFill>
          </w14:textFill>
        </w:rPr>
        <w:t>5.1.11  混凝土结构外防护材料</w:t>
      </w:r>
      <w:bookmarkEnd w:id="51"/>
    </w:p>
    <w:p w14:paraId="23C656F2">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（1）主要材料（系统）：成膜型和渗透型有机类防护涂料及聚合物防护涂料（液料组分）。</w:t>
      </w:r>
    </w:p>
    <w:p w14:paraId="45272ED9">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材料性能要求见表48：</w:t>
      </w:r>
    </w:p>
    <w:p w14:paraId="28B740CC">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表48</w:t>
      </w:r>
    </w:p>
    <w:tbl>
      <w:tblPr>
        <w:tblStyle w:val="20"/>
        <w:tblW w:w="811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0"/>
        <w:gridCol w:w="4059"/>
      </w:tblGrid>
      <w:tr w14:paraId="55AD7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69C3615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67B5F94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35CB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08" w:type="dxa"/>
            <w:vMerge w:val="restart"/>
            <w:shd w:val="clear" w:color="auto" w:fill="auto"/>
            <w:vAlign w:val="center"/>
          </w:tcPr>
          <w:p w14:paraId="13F05D4E">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1.挥发性有机化合物（VOC）：</w:t>
            </w:r>
          </w:p>
          <w:p w14:paraId="23BE32E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≤100g/L</w:t>
            </w:r>
          </w:p>
          <w:p w14:paraId="17CDBE4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2.游离甲醛：≤70mg/kg</w:t>
            </w:r>
          </w:p>
          <w:p w14:paraId="3FA5FBDE">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3.甲苯+乙苯+二甲苯：≤200mg/kg</w:t>
            </w:r>
          </w:p>
          <w:p w14:paraId="724C44E9">
            <w:pPr>
              <w:spacing w:line="240" w:lineRule="auto"/>
              <w:ind w:firstLine="0" w:firstLineChars="0"/>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4.可溶性重金属：</w:t>
            </w:r>
            <w:r>
              <w:rPr>
                <w:rFonts w:cs="Times New Roman"/>
                <w:color w:val="000000" w:themeColor="text1"/>
                <w:sz w:val="24"/>
                <w:szCs w:val="24"/>
                <w14:textFill>
                  <w14:solidFill>
                    <w14:schemeClr w14:val="tx1"/>
                  </w14:solidFill>
                </w14:textFill>
              </w:rPr>
              <w:t>铅≤15mg/kg；镉≤15mg/kg；铬≤20mg/kg；汞≤15mg/kg</w:t>
            </w:r>
          </w:p>
        </w:tc>
        <w:tc>
          <w:tcPr>
            <w:tcW w:w="4111" w:type="dxa"/>
            <w:shd w:val="clear" w:color="auto" w:fill="auto"/>
            <w:vAlign w:val="center"/>
          </w:tcPr>
          <w:p w14:paraId="14140F5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成膜型有机类防护涂料</w:t>
            </w:r>
          </w:p>
          <w:p w14:paraId="7EF9607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1.碳化深度比：≤20%</w:t>
            </w:r>
          </w:p>
          <w:p w14:paraId="7D63B9C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2.抗冻性：250次冻融循环无脱落、破裂、起泡现象</w:t>
            </w:r>
          </w:p>
          <w:p w14:paraId="59F6504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3.抗氯离子渗透性：</w:t>
            </w:r>
          </w:p>
          <w:p w14:paraId="6A32969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≤1.0×10</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mg/(cm</w:t>
            </w:r>
            <w:r>
              <w:rPr>
                <w:rFonts w:cs="Times New Roman" w:eastAsiaTheme="minorEastAsia"/>
                <w:color w:val="000000" w:themeColor="text1"/>
                <w:sz w:val="24"/>
                <w:szCs w:val="24"/>
                <w:vertAlign w:val="superscript"/>
                <w14:textFill>
                  <w14:solidFill>
                    <w14:schemeClr w14:val="tx1"/>
                  </w14:solidFill>
                </w14:textFill>
              </w:rPr>
              <w:t>2</w:t>
            </w:r>
            <w:r>
              <w:rPr>
                <w:rFonts w:cs="Times New Roman" w:eastAsiaTheme="minorEastAsia"/>
                <w:color w:val="000000" w:themeColor="text1"/>
                <w:sz w:val="24"/>
                <w:szCs w:val="24"/>
                <w14:textFill>
                  <w14:solidFill>
                    <w14:schemeClr w14:val="tx1"/>
                  </w14:solidFill>
                </w14:textFill>
              </w:rPr>
              <w:t>·d)</w:t>
            </w:r>
          </w:p>
        </w:tc>
      </w:tr>
      <w:tr w14:paraId="53FE8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08" w:type="dxa"/>
            <w:vMerge w:val="continue"/>
            <w:shd w:val="clear" w:color="auto" w:fill="auto"/>
            <w:vAlign w:val="center"/>
          </w:tcPr>
          <w:p w14:paraId="24F25A6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4111" w:type="dxa"/>
            <w:shd w:val="clear" w:color="auto" w:fill="auto"/>
            <w:vAlign w:val="center"/>
          </w:tcPr>
          <w:p w14:paraId="23234A8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渗透型有机类防护涂料</w:t>
            </w:r>
          </w:p>
          <w:p w14:paraId="3B28A31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1.渗透深度：≥4mm</w:t>
            </w:r>
          </w:p>
          <w:p w14:paraId="44ECB52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2.氯离子渗透深度：≤6mm</w:t>
            </w:r>
          </w:p>
          <w:p w14:paraId="71A597F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3.吸水量比：≤15%</w:t>
            </w:r>
          </w:p>
        </w:tc>
      </w:tr>
      <w:tr w14:paraId="79D5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119" w:type="dxa"/>
            <w:gridSpan w:val="2"/>
            <w:shd w:val="clear" w:color="auto" w:fill="auto"/>
            <w:vAlign w:val="center"/>
          </w:tcPr>
          <w:p w14:paraId="0A5A62A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10229。</w:t>
            </w:r>
          </w:p>
        </w:tc>
      </w:tr>
    </w:tbl>
    <w:p w14:paraId="37EEDC29">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（2）主要材料（系统）：无机水性渗透结晶型材料。</w:t>
      </w:r>
    </w:p>
    <w:p w14:paraId="085B10A9">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材料性能要求见表49：</w:t>
      </w:r>
    </w:p>
    <w:p w14:paraId="3821EC48">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表49</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105FB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3168E16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9E45BE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2FB2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4043" w:type="dxa"/>
            <w:shd w:val="clear" w:color="auto" w:fill="auto"/>
            <w:vAlign w:val="center"/>
          </w:tcPr>
          <w:p w14:paraId="5C74521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单位产品废水排放量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：≤0.015t/t</w:t>
            </w:r>
          </w:p>
        </w:tc>
        <w:tc>
          <w:tcPr>
            <w:tcW w:w="4086" w:type="dxa"/>
            <w:shd w:val="clear" w:color="auto" w:fill="auto"/>
            <w:vAlign w:val="center"/>
          </w:tcPr>
          <w:p w14:paraId="2EBD8E8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1.凝胶化时间：≤300min</w:t>
            </w:r>
          </w:p>
          <w:p w14:paraId="37D52B4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2.抗渗性（渗透高度比）：≤60%</w:t>
            </w:r>
          </w:p>
          <w:p w14:paraId="157C64C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3.抗冻性</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（盐冻质量损失比，12个循环）：≤60%</w:t>
            </w:r>
          </w:p>
          <w:p w14:paraId="5F75C52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4.耐酸性</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（酸蚀质量损失比，12个循环）：≤70%</w:t>
            </w:r>
          </w:p>
        </w:tc>
      </w:tr>
      <w:tr w14:paraId="40D07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386F368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10229；</w:t>
            </w:r>
          </w:p>
          <w:p w14:paraId="6259938C">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p w14:paraId="348C0430">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当无机水性渗透结晶型材料应用的构件处于非冻融环境时，抗冻性指标可不做要求；</w:t>
            </w:r>
          </w:p>
          <w:p w14:paraId="61C56CF6">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当无机水性渗透结晶型材料应用的构件不接触酸性介质环境时，耐酸性指标可不做要求。</w:t>
            </w:r>
          </w:p>
        </w:tc>
      </w:tr>
    </w:tbl>
    <w:p w14:paraId="61E3EEF0">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（3）主要材料（系统）：外涂型钢筋阻锈剂。</w:t>
      </w:r>
    </w:p>
    <w:p w14:paraId="3D8CDF4B">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材料性能要求见表50：</w:t>
      </w:r>
    </w:p>
    <w:p w14:paraId="127AA252">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表50</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10246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111" w:type="dxa"/>
            <w:shd w:val="clear" w:color="auto" w:fill="auto"/>
            <w:vAlign w:val="center"/>
          </w:tcPr>
          <w:p w14:paraId="37942C3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0D351D9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4908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4043" w:type="dxa"/>
            <w:shd w:val="clear" w:color="auto" w:fill="auto"/>
            <w:vAlign w:val="center"/>
          </w:tcPr>
          <w:p w14:paraId="4DBC12B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新鲜水消耗量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：≤0.015t/t</w:t>
            </w:r>
          </w:p>
        </w:tc>
        <w:tc>
          <w:tcPr>
            <w:tcW w:w="4086" w:type="dxa"/>
            <w:shd w:val="clear" w:color="auto" w:fill="auto"/>
            <w:vAlign w:val="center"/>
          </w:tcPr>
          <w:p w14:paraId="51679BE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1.钢筋的耐盐水浸渍性能：无腐蚀</w:t>
            </w:r>
          </w:p>
          <w:p w14:paraId="73F48F8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2.渗透深度：≥50mm</w:t>
            </w:r>
          </w:p>
          <w:p w14:paraId="2FFB82A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3.电化学性能：28d后锈蚀电流平均密度降低率≥50%</w:t>
            </w:r>
          </w:p>
        </w:tc>
      </w:tr>
      <w:tr w14:paraId="0334A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0DDEC16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10229；</w:t>
            </w:r>
          </w:p>
          <w:p w14:paraId="6A4C1775">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14:paraId="4F456132">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2" w:name="_Toc186533259"/>
      <w:r>
        <w:rPr>
          <w:rFonts w:ascii="Times New Roman" w:hAnsi="Times New Roman" w:cs="Times New Roman" w:eastAsiaTheme="minorEastAsia"/>
          <w:color w:val="000000" w:themeColor="text1"/>
          <w14:textFill>
            <w14:solidFill>
              <w14:schemeClr w14:val="tx1"/>
            </w14:solidFill>
          </w14:textFill>
        </w:rPr>
        <w:t>5.1.12  建筑结构加固胶</w:t>
      </w:r>
      <w:bookmarkEnd w:id="52"/>
    </w:p>
    <w:p w14:paraId="3A6A97F5">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（1）主要材料（系统）：粘贴钢材用结构胶（以混凝土为基材）。</w:t>
      </w:r>
    </w:p>
    <w:p w14:paraId="647A8680">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材料性能要求见表51：</w:t>
      </w:r>
    </w:p>
    <w:p w14:paraId="30924FB9">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表51</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3D7A6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071908D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FF4C112">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AE8D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4043" w:type="dxa"/>
            <w:shd w:val="clear" w:color="auto" w:fill="auto"/>
            <w:vAlign w:val="center"/>
          </w:tcPr>
          <w:p w14:paraId="22A7EC9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549092C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1.胶体性能：抗拉强度≥33MPa；抗弯强度≥43MPa，不应呈碎裂状破坏</w:t>
            </w:r>
          </w:p>
          <w:p w14:paraId="680181C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14:paraId="1AD2E25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（23±2℃，50±5%相对湿度）≥18MPa</w:t>
            </w:r>
          </w:p>
          <w:p w14:paraId="557D6CA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钢对钢T冲击剥离长度：≤20mm</w:t>
            </w:r>
          </w:p>
          <w:p w14:paraId="1858124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14:paraId="48E5E7C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耐湿热老化能力，钢对钢（钢片法）拉伸抗剪强度降低率：≤10%</w:t>
            </w:r>
          </w:p>
          <w:p w14:paraId="2515876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14:paraId="212EC21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，200万次：试件不破坏</w:t>
            </w:r>
          </w:p>
        </w:tc>
      </w:tr>
      <w:tr w14:paraId="5C0E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8129" w:type="dxa"/>
            <w:gridSpan w:val="2"/>
            <w:shd w:val="clear" w:color="auto" w:fill="auto"/>
            <w:vAlign w:val="center"/>
          </w:tcPr>
          <w:p w14:paraId="3C368DE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14:paraId="49CE84C1">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14:paraId="74B64B59">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14:paraId="75CE352D">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（2）主要材料（系统）：粘贴纤维复合材用结构胶（以混凝土为基材）。</w:t>
      </w:r>
    </w:p>
    <w:p w14:paraId="682CB632">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材料性能要求见表52：</w:t>
      </w:r>
    </w:p>
    <w:p w14:paraId="77E3E67A">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表52</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3C021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759DD8C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65F515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9D63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3943852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142F4CEC">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1.胶体性能：抗拉强度≥38MPa；</w:t>
            </w:r>
            <w:r>
              <w:rPr>
                <w:rFonts w:cs="Times New Roman" w:eastAsiaTheme="minorEastAsia"/>
                <w:color w:val="000000" w:themeColor="text1"/>
                <w:w w:val="98"/>
                <w:sz w:val="24"/>
                <w:szCs w:val="24"/>
                <w14:textFill>
                  <w14:solidFill>
                    <w14:schemeClr w14:val="tx1"/>
                  </w14:solidFill>
                </w14:textFill>
              </w:rPr>
              <w:t>抗弯强度≥47MPa，不应呈碎裂状破坏</w:t>
            </w:r>
          </w:p>
          <w:p w14:paraId="73D1AEB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14:paraId="4962D45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（23±2℃，50±5%相对湿度）≥16MPa</w:t>
            </w:r>
          </w:p>
          <w:p w14:paraId="7507F0E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钢对钢T冲击剥离长度：≤20mm</w:t>
            </w:r>
          </w:p>
          <w:p w14:paraId="76B1B6D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14:paraId="007AC31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耐湿热老化能力，钢对钢（钢片法）拉伸抗剪强度降低率：≤12%</w:t>
            </w:r>
          </w:p>
          <w:p w14:paraId="394604E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14:paraId="6D0F72D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，200万次：试件不破坏</w:t>
            </w:r>
          </w:p>
        </w:tc>
      </w:tr>
      <w:tr w14:paraId="4EC4A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32F8574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14:paraId="181C98BC">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14:paraId="48C427CA">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14:paraId="514C0FE5">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（3）主要材料（系统）：锚固用结构胶（以混凝土为基材）。</w:t>
      </w:r>
    </w:p>
    <w:p w14:paraId="57170283">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材料性能要求见表53：</w:t>
      </w:r>
    </w:p>
    <w:p w14:paraId="1F83C4C8">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表53</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55334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2ACA8DA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34C0359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32D4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2BFF521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05C22647">
            <w:pPr>
              <w:spacing w:line="240" w:lineRule="auto"/>
              <w:ind w:firstLine="0" w:firstLineChars="0"/>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1.胶体性能：劈裂抗拉强度≥10MPa；</w:t>
            </w:r>
            <w:r>
              <w:rPr>
                <w:rFonts w:cs="Times New Roman" w:eastAsiaTheme="minorEastAsia"/>
                <w:color w:val="000000" w:themeColor="text1"/>
                <w:w w:val="98"/>
                <w:sz w:val="24"/>
                <w:szCs w:val="24"/>
                <w14:textFill>
                  <w14:solidFill>
                    <w14:schemeClr w14:val="tx1"/>
                  </w14:solidFill>
                </w14:textFill>
              </w:rPr>
              <w:t>抗弯强度≥50MPa，不应呈碎裂状破坏</w:t>
            </w:r>
          </w:p>
          <w:p w14:paraId="67301EE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14:paraId="33D0DBE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（23±2℃，50±5%相对湿度）≥11MPa</w:t>
            </w:r>
          </w:p>
          <w:p w14:paraId="73A3328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钢对钢T冲击剥离长度：≤25mm</w:t>
            </w:r>
          </w:p>
          <w:p w14:paraId="6B4A6F4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14:paraId="20B4333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耐湿热老化能力，钢对钢拉伸抗剪强度降低率：≤12%</w:t>
            </w:r>
          </w:p>
          <w:p w14:paraId="3C36710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14:paraId="1BDBF49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，200万次：试件不破坏</w:t>
            </w:r>
          </w:p>
        </w:tc>
      </w:tr>
      <w:tr w14:paraId="3D8DD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3EBEA2B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14:paraId="7312A7C6">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14:paraId="775AC2CB">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14:paraId="6EE2A820">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（4）主要材料（系统）：粘贴钢加固件用结构胶（以钢为基材）。</w:t>
      </w:r>
    </w:p>
    <w:p w14:paraId="578B9A63">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材料性能要求见表54：</w:t>
      </w:r>
    </w:p>
    <w:p w14:paraId="2E6FBA29">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表54</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0AF6D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08FF955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A04A7B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14A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14:paraId="30E93A7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35666CD0">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1.胶体性能：抗拉强度≥45MPa；</w:t>
            </w:r>
            <w:r>
              <w:rPr>
                <w:rFonts w:cs="Times New Roman" w:eastAsiaTheme="minorEastAsia"/>
                <w:color w:val="000000" w:themeColor="text1"/>
                <w:w w:val="98"/>
                <w:sz w:val="24"/>
                <w:szCs w:val="24"/>
                <w14:textFill>
                  <w14:solidFill>
                    <w14:schemeClr w14:val="tx1"/>
                  </w14:solidFill>
                </w14:textFill>
              </w:rPr>
              <w:t>抗弯强度≥55MPa，不应呈碎裂状破坏</w:t>
            </w:r>
          </w:p>
          <w:p w14:paraId="3CDAD43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14:paraId="3863986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（23±2℃，50±5%相对湿度）≥18MPa</w:t>
            </w:r>
          </w:p>
          <w:p w14:paraId="256C5A6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钢对钢T冲击剥离长度：≤8mm</w:t>
            </w:r>
          </w:p>
          <w:p w14:paraId="7998969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14:paraId="2111594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耐湿热老化能力，钢对钢拉伸抗剪强度降低率：≤12%；耐长期应力作用能力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，500万次：试件不破坏</w:t>
            </w:r>
          </w:p>
        </w:tc>
      </w:tr>
      <w:tr w14:paraId="00C6B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7CC4AB5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14:paraId="03E0B164">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14:paraId="1094C122">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14:paraId="12BDE5C2">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（5）主要材料（系统）：粘贴碳纤维复合材用结构胶（以钢为基材）。</w:t>
      </w:r>
    </w:p>
    <w:p w14:paraId="50DC9B27">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材料性能要求见表55：</w:t>
      </w:r>
    </w:p>
    <w:p w14:paraId="1297864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表55</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4BF5C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1E9554B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3271570D">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ECA6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4043" w:type="dxa"/>
            <w:shd w:val="clear" w:color="auto" w:fill="auto"/>
            <w:vAlign w:val="center"/>
          </w:tcPr>
          <w:p w14:paraId="1332FEF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101105ED">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1.胶体性能：抗拉强度≥47MPa；</w:t>
            </w:r>
            <w:r>
              <w:rPr>
                <w:rFonts w:cs="Times New Roman" w:eastAsiaTheme="minorEastAsia"/>
                <w:color w:val="000000" w:themeColor="text1"/>
                <w:w w:val="98"/>
                <w:sz w:val="24"/>
                <w:szCs w:val="24"/>
                <w14:textFill>
                  <w14:solidFill>
                    <w14:schemeClr w14:val="tx1"/>
                  </w14:solidFill>
                </w14:textFill>
              </w:rPr>
              <w:t>抗弯强度≥55MPa，不应呈碎裂状破坏</w:t>
            </w:r>
          </w:p>
          <w:p w14:paraId="133DA25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14:paraId="7812528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钢对钢拉伸抗剪强度：标准值</w:t>
            </w:r>
            <w:r>
              <w:rPr>
                <w:rFonts w:cs="Times New Roman" w:eastAsiaTheme="minorEastAsia"/>
                <w:color w:val="000000" w:themeColor="text1"/>
                <w:w w:val="98"/>
                <w:sz w:val="24"/>
                <w:szCs w:val="24"/>
                <w14:textFill>
                  <w14:solidFill>
                    <w14:schemeClr w14:val="tx1"/>
                  </w14:solidFill>
                </w14:textFill>
              </w:rPr>
              <w:t>（23±2℃，50±5%相对湿度）≥17MPa</w:t>
            </w:r>
          </w:p>
          <w:p w14:paraId="5509965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钢对钢T冲击剥离长度：≤8mm</w:t>
            </w:r>
          </w:p>
          <w:p w14:paraId="1B72C4F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3.耐久性能：</w:t>
            </w:r>
          </w:p>
          <w:p w14:paraId="46935C9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耐湿热老化能力，钢对钢拉伸抗剪强度降低率：≤12%</w:t>
            </w:r>
          </w:p>
          <w:p w14:paraId="71A4B85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耐长期应力作用能力</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：钢对钢拉伸抗剪试件不破坏，且蠕变的变形值＜0.4mm</w:t>
            </w:r>
          </w:p>
          <w:p w14:paraId="47CC78A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耐疲劳应力作用能力</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，500万次：试件不破坏</w:t>
            </w:r>
          </w:p>
        </w:tc>
      </w:tr>
      <w:tr w14:paraId="1EBDA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5C12E0D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p w14:paraId="1B77983A">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此项适用于设计使用年限为50年的结构胶；</w:t>
            </w:r>
          </w:p>
          <w:p w14:paraId="58695C42">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此项适用于承受动荷载作用的结构胶。</w:t>
            </w:r>
          </w:p>
        </w:tc>
      </w:tr>
    </w:tbl>
    <w:p w14:paraId="2C9C9531">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（6）主要材料（系统）：粘贴木材用结构胶（以木材为基材）。</w:t>
      </w:r>
    </w:p>
    <w:p w14:paraId="0EA7F3B5">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材料性能要求见表56：</w:t>
      </w:r>
    </w:p>
    <w:p w14:paraId="5964BA94">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表56</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62BEC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165C0DC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3F736DD">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8AE5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33F4980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3FAD512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1.黏结性能：</w:t>
            </w:r>
          </w:p>
          <w:p w14:paraId="0CE5B1B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胶缝顺木纹方向抗剪强度：干试件≥7.0MPa，湿试件≥5.0MPa</w:t>
            </w:r>
          </w:p>
          <w:p w14:paraId="68A1362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木材与木材横纹正拉黏结强度f</w:t>
            </w:r>
            <w:r>
              <w:rPr>
                <w:rFonts w:cs="Times New Roman" w:eastAsiaTheme="minorEastAsia"/>
                <w:color w:val="000000" w:themeColor="text1"/>
                <w:sz w:val="24"/>
                <w:szCs w:val="24"/>
                <w:vertAlign w:val="subscript"/>
                <w14:textFill>
                  <w14:solidFill>
                    <w14:schemeClr w14:val="tx1"/>
                  </w14:solidFill>
                </w14:textFill>
              </w:rPr>
              <w:t>t</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：f</w:t>
            </w:r>
            <w:r>
              <w:rPr>
                <w:rFonts w:cs="Times New Roman" w:eastAsiaTheme="minorEastAsia"/>
                <w:color w:val="000000" w:themeColor="text1"/>
                <w:sz w:val="24"/>
                <w:szCs w:val="24"/>
                <w:vertAlign w:val="subscript"/>
                <w14:textFill>
                  <w14:solidFill>
                    <w14:schemeClr w14:val="tx1"/>
                  </w14:solidFill>
                </w14:textFill>
              </w:rPr>
              <w:t>t</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≥f</w:t>
            </w:r>
            <w:r>
              <w:rPr>
                <w:rFonts w:cs="Times New Roman" w:eastAsiaTheme="minorEastAsia"/>
                <w:color w:val="000000" w:themeColor="text1"/>
                <w:sz w:val="24"/>
                <w:szCs w:val="24"/>
                <w:vertAlign w:val="subscript"/>
                <w14:textFill>
                  <w14:solidFill>
                    <w14:schemeClr w14:val="tx1"/>
                  </w14:solidFill>
                </w14:textFill>
              </w:rPr>
              <w:t>t，90</w:t>
            </w:r>
            <w:r>
              <w:rPr>
                <w:rFonts w:cs="Times New Roman" w:eastAsiaTheme="minorEastAsia"/>
                <w:color w:val="000000" w:themeColor="text1"/>
                <w:sz w:val="24"/>
                <w:szCs w:val="24"/>
                <w14:textFill>
                  <w14:solidFill>
                    <w14:schemeClr w14:val="tx1"/>
                  </w14:solidFill>
                </w14:textFill>
              </w:rPr>
              <w:t>，且为木材横纹撕拉破坏</w:t>
            </w:r>
          </w:p>
          <w:p w14:paraId="341C0E1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w:t>
            </w:r>
          </w:p>
          <w:p w14:paraId="78FD070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以20℃水浸泡48h、-20℃冷冻9h、室温放置15h、70℃热烘10h为一个循环，经8个循环后，测定胶缝顺纹抗剪破坏形式：沿木材剪切破坏的面积不应少于剪面面积的75%</w:t>
            </w:r>
          </w:p>
        </w:tc>
      </w:tr>
      <w:tr w14:paraId="601B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62B723F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tc>
      </w:tr>
    </w:tbl>
    <w:p w14:paraId="17E69662">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（7）主要材料（系统）：混凝土和砌体结构构件裂缝用压注胶。</w:t>
      </w:r>
    </w:p>
    <w:p w14:paraId="349B8529">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材料性能要求见表57：</w:t>
      </w:r>
    </w:p>
    <w:p w14:paraId="371B112A">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表57</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77C22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157638FD">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861954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2FE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2623850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05830EFD">
            <w:pPr>
              <w:spacing w:line="240" w:lineRule="auto"/>
              <w:ind w:firstLine="0" w:firstLineChars="0"/>
              <w:jc w:val="left"/>
              <w:rPr>
                <w:rFonts w:cs="Times New Roman" w:eastAsiaTheme="minorEastAsia"/>
                <w:color w:val="000000" w:themeColor="text1"/>
                <w:w w:val="98"/>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1.胶体性能：抗拉强度≥30MPa；</w:t>
            </w:r>
            <w:r>
              <w:rPr>
                <w:rFonts w:cs="Times New Roman" w:eastAsiaTheme="minorEastAsia"/>
                <w:color w:val="000000" w:themeColor="text1"/>
                <w:w w:val="98"/>
                <w:sz w:val="24"/>
                <w:szCs w:val="24"/>
                <w14:textFill>
                  <w14:solidFill>
                    <w14:schemeClr w14:val="tx1"/>
                  </w14:solidFill>
                </w14:textFill>
              </w:rPr>
              <w:t>抗弯强度≥40MPa，不应呈碎裂状破坏</w:t>
            </w:r>
          </w:p>
          <w:p w14:paraId="638D0BC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2.黏结性能：</w:t>
            </w:r>
          </w:p>
          <w:p w14:paraId="2FCFD76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钢对钢拉伸抗剪强度：≥16MPa</w:t>
            </w:r>
          </w:p>
          <w:p w14:paraId="039487F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钢对钢对接抗拉强度：≥25MPa</w:t>
            </w:r>
          </w:p>
          <w:p w14:paraId="1F43860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3.耐湿热老化性能，抗剪强度降低率：≤18%</w:t>
            </w:r>
          </w:p>
        </w:tc>
      </w:tr>
      <w:tr w14:paraId="5963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7CB0D83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tc>
      </w:tr>
    </w:tbl>
    <w:p w14:paraId="750C5267">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（8）主要材料（系统）：干挂石材幕墙用胶粘剂。</w:t>
      </w:r>
    </w:p>
    <w:p w14:paraId="22F9AA88">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材料性能要求见表58：</w:t>
      </w:r>
    </w:p>
    <w:p w14:paraId="540D43D5">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表58</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67E52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102F13A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86898C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1E93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shd w:val="clear" w:color="auto" w:fill="auto"/>
            <w:vAlign w:val="center"/>
          </w:tcPr>
          <w:p w14:paraId="332C0EE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单位产品总挥发性有机化合物（TVOC）含量：≤80g/kg</w:t>
            </w:r>
          </w:p>
        </w:tc>
        <w:tc>
          <w:tcPr>
            <w:tcW w:w="4086" w:type="dxa"/>
            <w:shd w:val="clear" w:color="auto" w:fill="auto"/>
            <w:vAlign w:val="center"/>
          </w:tcPr>
          <w:p w14:paraId="5FC5219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1.弯曲弹性模量：≥3000MPa</w:t>
            </w:r>
          </w:p>
          <w:p w14:paraId="10BE5BC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2.冲击强度：≥3.5kJ/m</w:t>
            </w:r>
            <w:r>
              <w:rPr>
                <w:rFonts w:cs="Times New Roman" w:eastAsiaTheme="minorEastAsia"/>
                <w:color w:val="000000" w:themeColor="text1"/>
                <w:sz w:val="24"/>
                <w:szCs w:val="24"/>
                <w:vertAlign w:val="superscript"/>
                <w14:textFill>
                  <w14:solidFill>
                    <w14:schemeClr w14:val="tx1"/>
                  </w14:solidFill>
                </w14:textFill>
              </w:rPr>
              <w:t>2</w:t>
            </w:r>
          </w:p>
          <w:p w14:paraId="4DD22337">
            <w:pPr>
              <w:spacing w:line="240" w:lineRule="auto"/>
              <w:ind w:firstLine="0" w:firstLineChars="0"/>
              <w:rPr>
                <w:rFonts w:cs="Times New Roman" w:eastAsiaTheme="minorEastAsia"/>
                <w:color w:val="000000" w:themeColor="text1"/>
                <w:w w:val="95"/>
                <w:sz w:val="24"/>
                <w:szCs w:val="24"/>
                <w14:textFill>
                  <w14:solidFill>
                    <w14:schemeClr w14:val="tx1"/>
                  </w14:solidFill>
                </w14:textFill>
              </w:rPr>
            </w:pPr>
            <w:r>
              <w:rPr>
                <w:rFonts w:cs="Times New Roman" w:eastAsiaTheme="minorEastAsia"/>
                <w:color w:val="000000" w:themeColor="text1"/>
                <w:w w:val="95"/>
                <w:sz w:val="24"/>
                <w:szCs w:val="24"/>
                <w14:textFill>
                  <w14:solidFill>
                    <w14:schemeClr w14:val="tx1"/>
                  </w14:solidFill>
                </w14:textFill>
              </w:rPr>
              <w:t>3.抗剪强度（不锈钢-不锈钢）：≥9.0MPa</w:t>
            </w:r>
          </w:p>
          <w:p w14:paraId="7F276D8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4.压剪强度：</w:t>
            </w:r>
            <w:r>
              <w:rPr>
                <w:rFonts w:cs="Times New Roman" w:eastAsiaTheme="minorEastAsia"/>
                <w:color w:val="000000" w:themeColor="text1"/>
                <w:w w:val="95"/>
                <w:sz w:val="24"/>
                <w:szCs w:val="24"/>
                <w14:textFill>
                  <w14:solidFill>
                    <w14:schemeClr w14:val="tx1"/>
                  </w14:solidFill>
                </w14:textFill>
              </w:rPr>
              <w:t>石材-石材（标准条件48h）：≥13.0MPa；石材-不锈钢（标准条件48h）：≥13.0MPa</w:t>
            </w:r>
          </w:p>
        </w:tc>
      </w:tr>
      <w:tr w14:paraId="3566F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53E1C00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10233。</w:t>
            </w:r>
          </w:p>
        </w:tc>
      </w:tr>
    </w:tbl>
    <w:p w14:paraId="3FF783FB">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53" w:name="_Toc186533260"/>
      <w:r>
        <w:rPr>
          <w:rFonts w:ascii="Times New Roman" w:hAnsi="Times New Roman" w:cs="Times New Roman" w:eastAsiaTheme="minorEastAsia"/>
          <w:color w:val="000000" w:themeColor="text1"/>
          <w14:textFill>
            <w14:solidFill>
              <w14:schemeClr w14:val="tx1"/>
            </w14:solidFill>
          </w14:textFill>
        </w:rPr>
        <w:t>5.1.13  工程修复材料</w:t>
      </w:r>
      <w:bookmarkEnd w:id="53"/>
    </w:p>
    <w:p w14:paraId="0A807E74">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（1）主要材料（系统）：水泥基修复材料（纤维混凝土、水泥基快速修补混凝土、水泥基加固灌浆料、高延性纤维增强水泥基复合材料、水泥基快速修补砂浆）。</w:t>
      </w:r>
    </w:p>
    <w:p w14:paraId="2AC8F78D">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材料性能要求见表59：</w:t>
      </w:r>
    </w:p>
    <w:p w14:paraId="5E3B8A9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表59</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127FE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546864E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209816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FE15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vMerge w:val="restart"/>
            <w:shd w:val="clear" w:color="auto" w:fill="auto"/>
            <w:vAlign w:val="center"/>
          </w:tcPr>
          <w:p w14:paraId="2932F51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1.水溶性六价铬含量：≤200mg/t</w:t>
            </w:r>
          </w:p>
          <w:p w14:paraId="7EBFA83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2.氨释放量：≤0.2mg/m</w:t>
            </w:r>
            <w:r>
              <w:rPr>
                <w:rFonts w:cs="Times New Roman" w:eastAsiaTheme="minorEastAsia"/>
                <w:color w:val="000000" w:themeColor="text1"/>
                <w:sz w:val="24"/>
                <w:szCs w:val="24"/>
                <w:vertAlign w:val="superscript"/>
                <w14:textFill>
                  <w14:solidFill>
                    <w14:schemeClr w14:val="tx1"/>
                  </w14:solidFill>
                </w14:textFill>
              </w:rPr>
              <w:t>3</w:t>
            </w:r>
          </w:p>
          <w:p w14:paraId="3287DA3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3.混凝土中水溶性氯离子含量：≤0.10%</w:t>
            </w:r>
          </w:p>
        </w:tc>
        <w:tc>
          <w:tcPr>
            <w:tcW w:w="4086" w:type="dxa"/>
            <w:shd w:val="clear" w:color="auto" w:fill="auto"/>
            <w:vAlign w:val="center"/>
          </w:tcPr>
          <w:p w14:paraId="38D3A81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水泥混凝土类</w:t>
            </w:r>
          </w:p>
          <w:p w14:paraId="7C15C0F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1.强度：实测标准偏差与该强度等级标准偏差上限比值≤0.8</w:t>
            </w:r>
          </w:p>
          <w:p w14:paraId="3D129A8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14:paraId="7491CE0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抗渗等级：≥P10；抗氯离子渗透等级：不低于Ⅲ级；抗碳化等级：不低于Ⅲ级；抗冻等级：不低于F300</w:t>
            </w:r>
          </w:p>
        </w:tc>
      </w:tr>
      <w:tr w14:paraId="34E08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043" w:type="dxa"/>
            <w:vMerge w:val="continue"/>
            <w:shd w:val="clear" w:color="auto" w:fill="auto"/>
            <w:vAlign w:val="center"/>
          </w:tcPr>
          <w:p w14:paraId="2CC1813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4086" w:type="dxa"/>
            <w:shd w:val="clear" w:color="auto" w:fill="auto"/>
            <w:vAlign w:val="center"/>
          </w:tcPr>
          <w:p w14:paraId="3787174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水泥砂浆类</w:t>
            </w:r>
          </w:p>
          <w:p w14:paraId="6F85EBE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1.强度：</w:t>
            </w:r>
          </w:p>
          <w:p w14:paraId="65EBAEA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抗压强度实测值与设计值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的比值≥1.05MPa且≤2.00MPa</w:t>
            </w:r>
          </w:p>
          <w:p w14:paraId="79C4F8C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拉伸黏接强度实测值与设计值</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的比值≥1.05MPa</w:t>
            </w:r>
          </w:p>
          <w:p w14:paraId="6CCE892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2.耐久性</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：冻融循环后抗压强度损失率</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≤16%</w:t>
            </w:r>
          </w:p>
        </w:tc>
      </w:tr>
      <w:tr w14:paraId="1A79C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252020F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10231；</w:t>
            </w:r>
          </w:p>
          <w:p w14:paraId="7A4598FD">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当使用的产品标准未规定相关指标或出厂产品不涉及耐久性要求时，该产品不参评此项目；</w:t>
            </w:r>
          </w:p>
          <w:p w14:paraId="73716DCB">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bookmarkStart w:id="54" w:name="OLE_LINK19"/>
            <w:bookmarkStart w:id="55" w:name="OLE_LINK14"/>
            <w:r>
              <w:rPr>
                <w:rFonts w:cs="Times New Roman" w:eastAsiaTheme="minorEastAsia"/>
                <w:color w:val="000000" w:themeColor="text1"/>
                <w:sz w:val="24"/>
                <w:szCs w:val="24"/>
                <w14:textFill>
                  <w14:solidFill>
                    <w14:schemeClr w14:val="tx1"/>
                  </w14:solidFill>
                </w14:textFill>
              </w:rPr>
              <w:t>设计值为产品标准中规定的强度等级值</w:t>
            </w:r>
            <w:bookmarkEnd w:id="54"/>
            <w:bookmarkEnd w:id="55"/>
            <w:r>
              <w:rPr>
                <w:rFonts w:cs="Times New Roman" w:eastAsiaTheme="minorEastAsia"/>
                <w:color w:val="000000" w:themeColor="text1"/>
                <w:sz w:val="24"/>
                <w:szCs w:val="24"/>
                <w14:textFill>
                  <w14:solidFill>
                    <w14:schemeClr w14:val="tx1"/>
                  </w14:solidFill>
                </w14:textFill>
              </w:rPr>
              <w:t>；</w:t>
            </w:r>
          </w:p>
          <w:p w14:paraId="466D47F0">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主要适用于在严寒地区、寒冷地区与水接触的产品，应用于其他建筑气候区的产品可不参评此项目；建筑气候区的划分按GB 50176进行。</w:t>
            </w:r>
          </w:p>
        </w:tc>
      </w:tr>
    </w:tbl>
    <w:p w14:paraId="1A175983">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（2）主要材料（系统）：聚合物树脂基快速修补材料。</w:t>
      </w:r>
    </w:p>
    <w:p w14:paraId="767FEB1C">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材料性能要求见表60：</w:t>
      </w:r>
    </w:p>
    <w:p w14:paraId="4EFD81F1">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表60</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55B02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111" w:type="dxa"/>
            <w:shd w:val="clear" w:color="auto" w:fill="auto"/>
            <w:vAlign w:val="center"/>
          </w:tcPr>
          <w:p w14:paraId="00134A1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9469E5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55B3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14:paraId="7BF380A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单位产品工业废水排放量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：0</w:t>
            </w:r>
          </w:p>
        </w:tc>
        <w:tc>
          <w:tcPr>
            <w:tcW w:w="4086" w:type="dxa"/>
            <w:shd w:val="clear" w:color="auto" w:fill="auto"/>
            <w:vAlign w:val="center"/>
          </w:tcPr>
          <w:p w14:paraId="57AD890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1.固化时间：≤12h</w:t>
            </w:r>
          </w:p>
          <w:p w14:paraId="633987E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2.抗压强度：</w:t>
            </w:r>
          </w:p>
          <w:p w14:paraId="61F1040C">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12h，≥30Mpa；1d，≥45MPa；7d，≥55MPa</w:t>
            </w:r>
          </w:p>
        </w:tc>
      </w:tr>
      <w:tr w14:paraId="595A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62565C4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10231；</w:t>
            </w:r>
          </w:p>
          <w:p w14:paraId="31EF3187">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以自我声明的方式提供证实性资料。</w:t>
            </w:r>
          </w:p>
        </w:tc>
      </w:tr>
    </w:tbl>
    <w:p w14:paraId="38BFD5BD">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（3）主要材料（系统）：聚合物灌浆料。</w:t>
      </w:r>
    </w:p>
    <w:p w14:paraId="0D259C8E">
      <w:pPr>
        <w:spacing w:line="588" w:lineRule="exact"/>
        <w:ind w:firstLine="56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材料性能要求见表61：</w:t>
      </w:r>
    </w:p>
    <w:p w14:paraId="61D1B4FA">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表61</w:t>
      </w:r>
    </w:p>
    <w:tbl>
      <w:tblPr>
        <w:tblStyle w:val="20"/>
        <w:tblW w:w="8129"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5"/>
        <w:gridCol w:w="4064"/>
      </w:tblGrid>
      <w:tr w14:paraId="21473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4111" w:type="dxa"/>
            <w:shd w:val="clear" w:color="auto" w:fill="auto"/>
            <w:vAlign w:val="center"/>
          </w:tcPr>
          <w:p w14:paraId="5C6221F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CA8EB5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E88B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14:paraId="4C6C0E8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挥发性有机化合物（VOC）含量：单组分≤100g/L，多组分≤50g/L</w:t>
            </w:r>
          </w:p>
        </w:tc>
        <w:tc>
          <w:tcPr>
            <w:tcW w:w="4086" w:type="dxa"/>
            <w:shd w:val="clear" w:color="auto" w:fill="auto"/>
            <w:vAlign w:val="center"/>
          </w:tcPr>
          <w:p w14:paraId="210EB75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1.灌注能力：≤8min</w:t>
            </w:r>
          </w:p>
          <w:p w14:paraId="610078F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2.黏结强度：≥2.8MPa</w:t>
            </w:r>
          </w:p>
        </w:tc>
      </w:tr>
      <w:tr w14:paraId="76B17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9" w:type="dxa"/>
            <w:gridSpan w:val="2"/>
            <w:shd w:val="clear" w:color="auto" w:fill="auto"/>
            <w:vAlign w:val="center"/>
          </w:tcPr>
          <w:p w14:paraId="270CEDC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10231。</w:t>
            </w:r>
          </w:p>
        </w:tc>
      </w:tr>
      <w:bookmarkEnd w:id="38"/>
      <w:bookmarkEnd w:id="39"/>
    </w:tbl>
    <w:p w14:paraId="35AEC668">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56" w:name="_Toc4806"/>
      <w:bookmarkStart w:id="57" w:name="_Toc98250119"/>
      <w:bookmarkStart w:id="58" w:name="_Toc186533261"/>
      <w:r>
        <w:rPr>
          <w:rFonts w:cs="Times New Roman" w:eastAsiaTheme="minorEastAsia"/>
          <w:color w:val="000000" w:themeColor="text1"/>
          <w:sz w:val="30"/>
          <w:szCs w:val="30"/>
          <w14:textFill>
            <w14:solidFill>
              <w14:schemeClr w14:val="tx1"/>
            </w14:solidFill>
          </w14:textFill>
        </w:rPr>
        <w:t>5.2  建筑装饰装修</w:t>
      </w:r>
      <w:bookmarkEnd w:id="56"/>
      <w:r>
        <w:rPr>
          <w:rFonts w:cs="Times New Roman" w:eastAsiaTheme="minorEastAsia"/>
          <w:color w:val="000000" w:themeColor="text1"/>
          <w:sz w:val="30"/>
          <w:szCs w:val="30"/>
          <w14:textFill>
            <w14:solidFill>
              <w14:schemeClr w14:val="tx1"/>
            </w14:solidFill>
          </w14:textFill>
        </w:rPr>
        <w:t>材料</w:t>
      </w:r>
      <w:bookmarkEnd w:id="57"/>
      <w:bookmarkEnd w:id="58"/>
    </w:p>
    <w:p w14:paraId="133D6A3B">
      <w:pPr>
        <w:pStyle w:val="3"/>
        <w:numPr>
          <w:ilvl w:val="1"/>
          <w:numId w:val="0"/>
        </w:numPr>
        <w:spacing w:line="588" w:lineRule="exact"/>
        <w:ind w:left="142"/>
        <w:rPr>
          <w:rFonts w:cs="Times New Roman"/>
          <w:color w:val="000000" w:themeColor="text1"/>
          <w14:textFill>
            <w14:solidFill>
              <w14:schemeClr w14:val="tx1"/>
            </w14:solidFill>
          </w14:textFill>
        </w:rPr>
      </w:pPr>
      <w:bookmarkStart w:id="59" w:name="_Toc186533262"/>
      <w:bookmarkStart w:id="60" w:name="_Toc10667"/>
      <w:bookmarkStart w:id="61" w:name="_Toc98250120"/>
      <w:r>
        <w:rPr>
          <w:rFonts w:cs="Times New Roman"/>
          <w:color w:val="000000" w:themeColor="text1"/>
          <w14:textFill>
            <w14:solidFill>
              <w14:schemeClr w14:val="tx1"/>
            </w14:solidFill>
          </w14:textFill>
        </w:rPr>
        <w:t>Ⅰ  隔墙隔断材料</w:t>
      </w:r>
      <w:bookmarkEnd w:id="59"/>
      <w:bookmarkEnd w:id="60"/>
      <w:bookmarkEnd w:id="61"/>
    </w:p>
    <w:p w14:paraId="2032A96C">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62" w:name="_Toc186533263"/>
      <w:bookmarkStart w:id="63" w:name="_Toc98250121"/>
      <w:r>
        <w:rPr>
          <w:rFonts w:ascii="Times New Roman" w:hAnsi="Times New Roman" w:cs="Times New Roman" w:eastAsiaTheme="minorEastAsia"/>
          <w:color w:val="000000" w:themeColor="text1"/>
          <w14:textFill>
            <w14:solidFill>
              <w14:schemeClr w14:val="tx1"/>
            </w14:solidFill>
          </w14:textFill>
        </w:rPr>
        <w:t>5.2.1  纸面石膏板</w:t>
      </w:r>
      <w:bookmarkEnd w:id="62"/>
      <w:bookmarkEnd w:id="63"/>
    </w:p>
    <w:p w14:paraId="636F611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主要材料（系统）：纸面石膏板。</w:t>
      </w:r>
    </w:p>
    <w:p w14:paraId="3531DFA2">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材料性能要求见表62：</w:t>
      </w:r>
    </w:p>
    <w:p w14:paraId="47281FDF">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表62</w:t>
      </w:r>
    </w:p>
    <w:tbl>
      <w:tblPr>
        <w:tblStyle w:val="20"/>
        <w:tblW w:w="8114"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14:paraId="3F460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4111" w:type="dxa"/>
            <w:shd w:val="clear" w:color="auto" w:fill="auto"/>
            <w:vAlign w:val="center"/>
          </w:tcPr>
          <w:p w14:paraId="2C9C57F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0128990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71D1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4043" w:type="dxa"/>
            <w:shd w:val="clear" w:color="auto" w:fill="auto"/>
            <w:vAlign w:val="center"/>
          </w:tcPr>
          <w:p w14:paraId="2E1EA7CE">
            <w:pPr>
              <w:pStyle w:val="35"/>
              <w:widowControl/>
              <w:spacing w:line="240" w:lineRule="auto"/>
              <w:ind w:firstLine="0" w:firstLineChars="0"/>
              <w:rPr>
                <w:rFonts w:cs="Times New Roman" w:eastAsiaTheme="minorEastAsia"/>
                <w:bCs/>
                <w:color w:val="000000" w:themeColor="text1"/>
                <w:sz w:val="24"/>
                <w:szCs w:val="24"/>
                <w:vertAlign w:val="superscript"/>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单位产品石棉含量为0g/m</w:t>
            </w:r>
            <w:r>
              <w:rPr>
                <w:rFonts w:cs="Times New Roman" w:eastAsiaTheme="minorEastAsia"/>
                <w:bCs/>
                <w:color w:val="000000" w:themeColor="text1"/>
                <w:sz w:val="24"/>
                <w:szCs w:val="24"/>
                <w:vertAlign w:val="superscript"/>
                <w14:textFill>
                  <w14:solidFill>
                    <w14:schemeClr w14:val="tx1"/>
                  </w14:solidFill>
                </w14:textFill>
              </w:rPr>
              <w:t>2</w:t>
            </w:r>
          </w:p>
        </w:tc>
        <w:tc>
          <w:tcPr>
            <w:tcW w:w="4071" w:type="dxa"/>
            <w:shd w:val="clear" w:color="auto" w:fill="auto"/>
            <w:vAlign w:val="center"/>
          </w:tcPr>
          <w:p w14:paraId="3179A409">
            <w:pPr>
              <w:pStyle w:val="35"/>
              <w:widowControl/>
              <w:tabs>
                <w:tab w:val="left" w:pos="312"/>
              </w:tabs>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1.吸水率</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≤8%</w:t>
            </w:r>
          </w:p>
          <w:p w14:paraId="4027FADE">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2.48h受潮挠度≤5mm</w:t>
            </w:r>
          </w:p>
        </w:tc>
      </w:tr>
      <w:tr w14:paraId="24E68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114" w:type="dxa"/>
            <w:gridSpan w:val="2"/>
            <w:shd w:val="clear" w:color="auto" w:fill="auto"/>
            <w:vAlign w:val="center"/>
          </w:tcPr>
          <w:p w14:paraId="2E974DE9">
            <w:pPr>
              <w:pStyle w:val="35"/>
              <w:widowControl/>
              <w:tabs>
                <w:tab w:val="left" w:pos="312"/>
              </w:tabs>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注：依据T/CECS 10056；</w:t>
            </w:r>
          </w:p>
          <w:p w14:paraId="36314383">
            <w:pPr>
              <w:spacing w:line="240" w:lineRule="auto"/>
              <w:ind w:firstLine="48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吸水率仅适用于耐水纸面石膏板。</w:t>
            </w:r>
          </w:p>
        </w:tc>
      </w:tr>
    </w:tbl>
    <w:p w14:paraId="75E933F3">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64" w:name="_Toc98250122"/>
      <w:bookmarkStart w:id="65" w:name="_Toc20223"/>
      <w:bookmarkStart w:id="66" w:name="_Toc186533264"/>
      <w:r>
        <w:rPr>
          <w:rFonts w:ascii="Times New Roman" w:hAnsi="Times New Roman" w:cs="Times New Roman" w:eastAsiaTheme="minorEastAsia"/>
          <w:color w:val="000000" w:themeColor="text1"/>
          <w14:textFill>
            <w14:solidFill>
              <w14:schemeClr w14:val="tx1"/>
            </w14:solidFill>
          </w14:textFill>
        </w:rPr>
        <w:t>5.2.2  吊顶材料</w:t>
      </w:r>
      <w:bookmarkEnd w:id="64"/>
      <w:bookmarkEnd w:id="65"/>
      <w:bookmarkEnd w:id="66"/>
    </w:p>
    <w:p w14:paraId="077E8CB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（1）主要材料（系统）：矿物棉装饰吸声板。</w:t>
      </w:r>
    </w:p>
    <w:p w14:paraId="6C587E63">
      <w:pPr>
        <w:tabs>
          <w:tab w:val="center" w:pos="4434"/>
        </w:tabs>
        <w:spacing w:line="588" w:lineRule="exact"/>
        <w:ind w:firstLine="560"/>
        <w:rPr>
          <w:rFonts w:eastAsia="黑体" w:cs="Times New Roman"/>
          <w:color w:val="000000" w:themeColor="text1"/>
          <w:sz w:val="21"/>
          <w:szCs w:val="21"/>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材料性能要求见表63：</w:t>
      </w:r>
    </w:p>
    <w:p w14:paraId="14282DD6">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表63</w:t>
      </w:r>
    </w:p>
    <w:tbl>
      <w:tblPr>
        <w:tblStyle w:val="20"/>
        <w:tblW w:w="8072"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6"/>
        <w:gridCol w:w="4036"/>
      </w:tblGrid>
      <w:tr w14:paraId="21E8B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4111" w:type="dxa"/>
            <w:shd w:val="clear" w:color="auto" w:fill="auto"/>
            <w:vAlign w:val="center"/>
          </w:tcPr>
          <w:p w14:paraId="3DF1AE6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68FB861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69620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4043" w:type="dxa"/>
            <w:shd w:val="clear" w:color="auto" w:fill="auto"/>
            <w:vAlign w:val="center"/>
          </w:tcPr>
          <w:p w14:paraId="26018CBD">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bookmarkStart w:id="67" w:name="OLE_LINK2"/>
            <w:bookmarkStart w:id="68" w:name="OLE_LINK1"/>
            <w:r>
              <w:rPr>
                <w:rFonts w:cs="Times New Roman" w:eastAsiaTheme="minorEastAsia"/>
                <w:color w:val="000000" w:themeColor="text1"/>
                <w:sz w:val="24"/>
                <w:szCs w:val="24"/>
                <w14:textFill>
                  <w14:solidFill>
                    <w14:schemeClr w14:val="tx1"/>
                  </w14:solidFill>
                </w14:textFill>
              </w:rPr>
              <w:t>内照射指数I</w:t>
            </w:r>
            <w:r>
              <w:rPr>
                <w:rFonts w:cs="Times New Roman" w:eastAsiaTheme="minorEastAsia"/>
                <w:color w:val="000000" w:themeColor="text1"/>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≤1.0</w:t>
            </w:r>
          </w:p>
          <w:p w14:paraId="5A289B1C">
            <w:pPr>
              <w:widowControl/>
              <w:tabs>
                <w:tab w:val="left" w:pos="312"/>
              </w:tabs>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外照射指数I</w:t>
            </w:r>
            <w:r>
              <w:rPr>
                <w:rFonts w:cs="Times New Roman" w:eastAsiaTheme="minorEastAsia"/>
                <w:color w:val="000000" w:themeColor="text1"/>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≤1.3</w:t>
            </w:r>
            <w:bookmarkEnd w:id="67"/>
            <w:bookmarkEnd w:id="68"/>
          </w:p>
        </w:tc>
        <w:tc>
          <w:tcPr>
            <w:tcW w:w="4029" w:type="dxa"/>
            <w:shd w:val="clear" w:color="auto" w:fill="auto"/>
            <w:vAlign w:val="center"/>
          </w:tcPr>
          <w:p w14:paraId="44DB1211">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1.降噪系数（混响室法）：</w:t>
            </w:r>
          </w:p>
          <w:p w14:paraId="68BEBDCB">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干法板不得低于制造商的声称值，且不得小于0.75；湿法板（滚花）≥0.50；湿法板其他≥0.30</w:t>
            </w:r>
          </w:p>
          <w:p w14:paraId="5231989F">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2.受潮挠度：湿法板≤3.5mm；干法板≤1.0mm</w:t>
            </w:r>
          </w:p>
        </w:tc>
      </w:tr>
      <w:tr w14:paraId="71F86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2" w:type="dxa"/>
            <w:gridSpan w:val="2"/>
            <w:shd w:val="clear" w:color="auto" w:fill="auto"/>
            <w:vAlign w:val="center"/>
          </w:tcPr>
          <w:p w14:paraId="579AC48B">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25998。</w:t>
            </w:r>
          </w:p>
        </w:tc>
      </w:tr>
    </w:tbl>
    <w:p w14:paraId="1C76ADCC">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（2）主要材料（系统）：集成吊顶。</w:t>
      </w:r>
    </w:p>
    <w:p w14:paraId="5DF3031E">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材料性能要求见表64：</w:t>
      </w:r>
    </w:p>
    <w:p w14:paraId="51001BE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表64</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14:paraId="54711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111" w:type="dxa"/>
            <w:shd w:val="clear" w:color="auto" w:fill="auto"/>
            <w:vAlign w:val="center"/>
          </w:tcPr>
          <w:p w14:paraId="31B6431D">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05A8BB8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87DB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4065" w:type="dxa"/>
            <w:shd w:val="clear" w:color="auto" w:fill="auto"/>
            <w:vAlign w:val="center"/>
          </w:tcPr>
          <w:p w14:paraId="22D572A5">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1.换气模块能效等级达到2级</w:t>
            </w:r>
          </w:p>
          <w:p w14:paraId="4C6B7E2D">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2.LED照明模块能效等级达到2级</w:t>
            </w:r>
          </w:p>
          <w:p w14:paraId="3A31CDEA">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3.辐射式取暖器光效率衰减1 lm/W</w:t>
            </w:r>
          </w:p>
          <w:p w14:paraId="10CF69D5">
            <w:pPr>
              <w:widowControl/>
              <w:tabs>
                <w:tab w:val="left" w:pos="312"/>
              </w:tabs>
              <w:spacing w:line="240" w:lineRule="auto"/>
              <w:ind w:firstLine="0" w:firstLineChars="0"/>
              <w:rPr>
                <w:rFonts w:cs="Times New Roman" w:eastAsiaTheme="minorEastAsia"/>
                <w:color w:val="000000" w:themeColor="text1"/>
                <w:w w:val="93"/>
                <w:sz w:val="24"/>
                <w:szCs w:val="24"/>
                <w14:textFill>
                  <w14:solidFill>
                    <w14:schemeClr w14:val="tx1"/>
                  </w14:solidFill>
                </w14:textFill>
              </w:rPr>
            </w:pPr>
            <w:r>
              <w:rPr>
                <w:rFonts w:cs="Times New Roman" w:eastAsiaTheme="minorEastAsia"/>
                <w:color w:val="000000" w:themeColor="text1"/>
                <w:w w:val="93"/>
                <w:sz w:val="24"/>
                <w:szCs w:val="24"/>
                <w14:textFill>
                  <w14:solidFill>
                    <w14:schemeClr w14:val="tx1"/>
                  </w14:solidFill>
                </w14:textFill>
              </w:rPr>
              <w:t>4.风暖式取暖器功率衰减（2000h）≤8%</w:t>
            </w:r>
          </w:p>
        </w:tc>
        <w:tc>
          <w:tcPr>
            <w:tcW w:w="4021" w:type="dxa"/>
            <w:shd w:val="clear" w:color="auto" w:fill="auto"/>
            <w:vAlign w:val="center"/>
          </w:tcPr>
          <w:p w14:paraId="0D89467A">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1.换气模块运行噪声（额定功率≤40W时）≤55dB</w:t>
            </w:r>
          </w:p>
          <w:p w14:paraId="590915D3">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2.风暖模块运行噪声（额定功率≤2000W时）≤60dB</w:t>
            </w:r>
          </w:p>
        </w:tc>
      </w:tr>
      <w:tr w14:paraId="1F740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8086" w:type="dxa"/>
            <w:gridSpan w:val="2"/>
            <w:shd w:val="clear" w:color="auto" w:fill="auto"/>
            <w:vAlign w:val="center"/>
          </w:tcPr>
          <w:p w14:paraId="0EF18DB7">
            <w:pPr>
              <w:widowControl/>
              <w:tabs>
                <w:tab w:val="left" w:pos="312"/>
              </w:tabs>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10053。</w:t>
            </w:r>
          </w:p>
        </w:tc>
      </w:tr>
    </w:tbl>
    <w:p w14:paraId="371966CD">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69" w:name="_Toc186533265"/>
      <w:bookmarkStart w:id="70" w:name="_Toc98250123"/>
      <w:r>
        <w:rPr>
          <w:rFonts w:ascii="Times New Roman" w:hAnsi="Times New Roman" w:cs="Times New Roman" w:eastAsiaTheme="minorEastAsia"/>
          <w:color w:val="000000" w:themeColor="text1"/>
          <w14:textFill>
            <w14:solidFill>
              <w14:schemeClr w14:val="tx1"/>
            </w14:solidFill>
          </w14:textFill>
        </w:rPr>
        <w:t>5.2.3  泡沫铝板</w:t>
      </w:r>
      <w:bookmarkEnd w:id="69"/>
    </w:p>
    <w:p w14:paraId="047C69B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主要材料（系统）：泡沫铝板。</w:t>
      </w:r>
    </w:p>
    <w:p w14:paraId="0C1C79A2">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材料性能要求见表65：</w:t>
      </w:r>
    </w:p>
    <w:p w14:paraId="19C82164">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表65</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14:paraId="55A72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14:paraId="2928F16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353463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55C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14:paraId="25316423">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吸声系数：通孔铝板≥0.65%，闭孔铝板＞0.45%</w:t>
            </w:r>
          </w:p>
        </w:tc>
        <w:tc>
          <w:tcPr>
            <w:tcW w:w="3991" w:type="dxa"/>
            <w:shd w:val="clear" w:color="auto" w:fill="auto"/>
            <w:vAlign w:val="center"/>
          </w:tcPr>
          <w:p w14:paraId="2587665B">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体积密度偏差：</w:t>
            </w:r>
          </w:p>
          <w:p w14:paraId="2CA2B905">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通孔铝板，±8%；闭孔铝板，±13%</w:t>
            </w:r>
          </w:p>
        </w:tc>
      </w:tr>
      <w:tr w14:paraId="51B6E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14:paraId="42F66140">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10250。</w:t>
            </w:r>
          </w:p>
        </w:tc>
      </w:tr>
    </w:tbl>
    <w:p w14:paraId="5141A6B1">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1" w:name="_Toc186533266"/>
      <w:r>
        <w:rPr>
          <w:rFonts w:ascii="Times New Roman" w:hAnsi="Times New Roman" w:cs="Times New Roman" w:eastAsiaTheme="minorEastAsia"/>
          <w:color w:val="000000" w:themeColor="text1"/>
          <w14:textFill>
            <w14:solidFill>
              <w14:schemeClr w14:val="tx1"/>
            </w14:solidFill>
          </w14:textFill>
        </w:rPr>
        <w:t>5.2.4  其他</w:t>
      </w:r>
      <w:bookmarkEnd w:id="70"/>
      <w:bookmarkEnd w:id="71"/>
    </w:p>
    <w:p w14:paraId="18BA75C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主要材料（系统）：隔断材料（混凝土隔断、金属隔断、木隔断等）。</w:t>
      </w:r>
    </w:p>
    <w:p w14:paraId="1A9B71C2">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材料性能要求见表66：</w:t>
      </w:r>
    </w:p>
    <w:p w14:paraId="20CF8D7F">
      <w:pPr>
        <w:spacing w:line="588" w:lineRule="exact"/>
        <w:ind w:firstLine="0" w:firstLineChars="0"/>
        <w:jc w:val="center"/>
        <w:rPr>
          <w:rFonts w:eastAsia="黑体" w:cs="Times New Roman"/>
          <w:color w:val="000000" w:themeColor="text1"/>
          <w:sz w:val="21"/>
          <w:szCs w:val="21"/>
          <w14:textFill>
            <w14:solidFill>
              <w14:schemeClr w14:val="tx1"/>
            </w14:solidFill>
          </w14:textFill>
        </w:rPr>
      </w:pPr>
    </w:p>
    <w:p w14:paraId="2BD4A1AB">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表66</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14:paraId="52FEC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14:paraId="3547F40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B927482">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AB9D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14:paraId="4422E101">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1.甲醛释放限量≤0.03mg/m³</w:t>
            </w:r>
          </w:p>
          <w:p w14:paraId="548F375D">
            <w:pPr>
              <w:pStyle w:val="35"/>
              <w:widowControl/>
              <w:spacing w:line="240" w:lineRule="auto"/>
              <w:ind w:firstLine="0" w:firstLineChars="0"/>
              <w:jc w:val="left"/>
              <w:rPr>
                <w:rFonts w:cs="Times New Roman" w:eastAsiaTheme="minorEastAsia"/>
                <w:color w:val="000000" w:themeColor="text1"/>
                <w:w w:val="96"/>
                <w:sz w:val="24"/>
                <w:szCs w:val="24"/>
                <w14:textFill>
                  <w14:solidFill>
                    <w14:schemeClr w14:val="tx1"/>
                  </w14:solidFill>
                </w14:textFill>
              </w:rPr>
            </w:pPr>
            <w:r>
              <w:rPr>
                <w:rFonts w:cs="Times New Roman" w:eastAsiaTheme="minorEastAsia"/>
                <w:color w:val="000000" w:themeColor="text1"/>
                <w:w w:val="96"/>
                <w:sz w:val="24"/>
                <w:szCs w:val="24"/>
                <w14:textFill>
                  <w14:solidFill>
                    <w14:schemeClr w14:val="tx1"/>
                  </w14:solidFill>
                </w14:textFill>
              </w:rPr>
              <w:t>2.总挥发性有机化合物（TVOC）≤0.50mg/m³</w:t>
            </w:r>
          </w:p>
        </w:tc>
        <w:tc>
          <w:tcPr>
            <w:tcW w:w="3991" w:type="dxa"/>
            <w:shd w:val="clear" w:color="auto" w:fill="auto"/>
            <w:vAlign w:val="center"/>
          </w:tcPr>
          <w:p w14:paraId="077B4CDE">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1.内照射指数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≤0.8；外照射指数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≤0.8</w:t>
            </w:r>
          </w:p>
          <w:p w14:paraId="3AF4370F">
            <w:pPr>
              <w:pStyle w:val="35"/>
              <w:widowControl/>
              <w:spacing w:line="240" w:lineRule="auto"/>
              <w:ind w:firstLine="0" w:firstLineChars="0"/>
              <w:jc w:val="left"/>
              <w:rPr>
                <w:rFonts w:cs="Times New Roman" w:eastAsiaTheme="minorEastAsia"/>
                <w:b/>
                <w:bCs/>
                <w:color w:val="000000" w:themeColor="text1"/>
                <w:w w:val="96"/>
                <w:sz w:val="24"/>
                <w:szCs w:val="24"/>
                <w14:textFill>
                  <w14:solidFill>
                    <w14:schemeClr w14:val="tx1"/>
                  </w14:solidFill>
                </w14:textFill>
              </w:rPr>
            </w:pPr>
            <w:r>
              <w:rPr>
                <w:rFonts w:cs="Times New Roman" w:eastAsiaTheme="minorEastAsia"/>
                <w:bCs/>
                <w:color w:val="000000" w:themeColor="text1"/>
                <w:w w:val="96"/>
                <w:sz w:val="24"/>
                <w:szCs w:val="24"/>
                <w14:textFill>
                  <w14:solidFill>
                    <w14:schemeClr w14:val="tx1"/>
                  </w14:solidFill>
                </w14:textFill>
              </w:rPr>
              <w:t>2.实测强度与设计强度的比值</w:t>
            </w:r>
            <w:r>
              <w:rPr>
                <w:rFonts w:cs="Times New Roman" w:eastAsiaTheme="minorEastAsia"/>
                <w:bCs/>
                <w:color w:val="000000" w:themeColor="text1"/>
                <w:w w:val="96"/>
                <w:sz w:val="24"/>
                <w:szCs w:val="24"/>
                <w:vertAlign w:val="superscript"/>
                <w14:textFill>
                  <w14:solidFill>
                    <w14:schemeClr w14:val="tx1"/>
                  </w14:solidFill>
                </w14:textFill>
              </w:rPr>
              <w:t>a</w:t>
            </w:r>
            <w:r>
              <w:rPr>
                <w:rFonts w:cs="Times New Roman" w:eastAsiaTheme="minorEastAsia"/>
                <w:bCs/>
                <w:color w:val="000000" w:themeColor="text1"/>
                <w:w w:val="96"/>
                <w:sz w:val="24"/>
                <w:szCs w:val="24"/>
                <w14:textFill>
                  <w14:solidFill>
                    <w14:schemeClr w14:val="tx1"/>
                  </w14:solidFill>
                </w14:textFill>
              </w:rPr>
              <w:t>≥1.10</w:t>
            </w:r>
          </w:p>
          <w:p w14:paraId="5A2917E3">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3.抗弯承载≥1.5自重倍数</w:t>
            </w:r>
          </w:p>
          <w:p w14:paraId="017522D7">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4.耐火极限≥1.5h</w:t>
            </w:r>
          </w:p>
        </w:tc>
      </w:tr>
      <w:tr w14:paraId="4DB50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14:paraId="285494FE">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注：依据JG/T 169；</w:t>
            </w:r>
          </w:p>
          <w:p w14:paraId="2147AED4">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设计强度为相关产品的国家或产品标准中的强度等级值。</w:t>
            </w:r>
          </w:p>
        </w:tc>
      </w:tr>
    </w:tbl>
    <w:p w14:paraId="6733B926">
      <w:pPr>
        <w:pStyle w:val="3"/>
        <w:numPr>
          <w:ilvl w:val="1"/>
          <w:numId w:val="0"/>
        </w:numPr>
        <w:spacing w:line="588" w:lineRule="exact"/>
        <w:ind w:left="142"/>
        <w:rPr>
          <w:rFonts w:cs="Times New Roman"/>
          <w:color w:val="000000" w:themeColor="text1"/>
          <w14:textFill>
            <w14:solidFill>
              <w14:schemeClr w14:val="tx1"/>
            </w14:solidFill>
          </w14:textFill>
        </w:rPr>
      </w:pPr>
      <w:bookmarkStart w:id="72" w:name="_Toc98250124"/>
      <w:bookmarkStart w:id="73" w:name="_Toc32613"/>
      <w:bookmarkStart w:id="74" w:name="_Toc186533267"/>
      <w:r>
        <w:rPr>
          <w:rFonts w:cs="Times New Roman"/>
          <w:color w:val="000000" w:themeColor="text1"/>
          <w14:textFill>
            <w14:solidFill>
              <w14:schemeClr w14:val="tx1"/>
            </w14:solidFill>
          </w14:textFill>
        </w:rPr>
        <w:t>Ⅱ  墙面材料</w:t>
      </w:r>
      <w:bookmarkEnd w:id="72"/>
      <w:bookmarkEnd w:id="73"/>
      <w:bookmarkEnd w:id="74"/>
    </w:p>
    <w:p w14:paraId="7359E19D">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5" w:name="_Toc186533268"/>
      <w:r>
        <w:rPr>
          <w:rFonts w:ascii="Times New Roman" w:hAnsi="Times New Roman" w:cs="Times New Roman" w:eastAsiaTheme="minorEastAsia"/>
          <w:color w:val="000000" w:themeColor="text1"/>
          <w14:textFill>
            <w14:solidFill>
              <w14:schemeClr w14:val="tx1"/>
            </w14:solidFill>
          </w14:textFill>
        </w:rPr>
        <w:t>5.2.5  墙面陶瓷砖（板）</w:t>
      </w:r>
      <w:bookmarkEnd w:id="75"/>
    </w:p>
    <w:p w14:paraId="5CA9D91C">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主要材料（系统）：墙面陶瓷砖（板）。</w:t>
      </w:r>
    </w:p>
    <w:p w14:paraId="4C2C01F0">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材料性能要求见表67：</w:t>
      </w:r>
    </w:p>
    <w:p w14:paraId="14D3D52C">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表67</w:t>
      </w:r>
    </w:p>
    <w:tbl>
      <w:tblPr>
        <w:tblStyle w:val="20"/>
        <w:tblW w:w="8114"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14:paraId="70702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4111" w:type="dxa"/>
            <w:shd w:val="clear" w:color="auto" w:fill="auto"/>
            <w:vAlign w:val="center"/>
          </w:tcPr>
          <w:p w14:paraId="10DA2EB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D3DBE5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F884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4043" w:type="dxa"/>
            <w:shd w:val="clear" w:color="auto" w:fill="auto"/>
            <w:vAlign w:val="center"/>
          </w:tcPr>
          <w:p w14:paraId="5DF9AD4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内照射指数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≤0.9；外照射指数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≤1.2</w:t>
            </w:r>
          </w:p>
        </w:tc>
        <w:tc>
          <w:tcPr>
            <w:tcW w:w="4071" w:type="dxa"/>
            <w:shd w:val="clear" w:color="auto" w:fill="auto"/>
            <w:vAlign w:val="center"/>
          </w:tcPr>
          <w:p w14:paraId="1B507136">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1.无釉陶瓷砖、板耐污染性≥3级</w:t>
            </w:r>
          </w:p>
          <w:p w14:paraId="5B118750">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2.有釉陶瓷砖、板耐污染性≥4级</w:t>
            </w:r>
          </w:p>
        </w:tc>
      </w:tr>
      <w:tr w14:paraId="38810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14" w:type="dxa"/>
            <w:gridSpan w:val="2"/>
            <w:shd w:val="clear" w:color="auto" w:fill="auto"/>
            <w:vAlign w:val="center"/>
          </w:tcPr>
          <w:p w14:paraId="0A90D55C">
            <w:pPr>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w:t>
            </w:r>
            <w:r>
              <w:rPr>
                <w:rFonts w:cs="Times New Roman" w:eastAsiaTheme="minorEastAsia"/>
                <w:color w:val="000000" w:themeColor="text1"/>
                <w:sz w:val="24"/>
                <w:szCs w:val="24"/>
                <w14:textFill>
                  <w14:solidFill>
                    <w14:schemeClr w14:val="tx1"/>
                  </w14:solidFill>
                </w14:textFill>
              </w:rPr>
              <w:t>T/CECS 10036。</w:t>
            </w:r>
          </w:p>
        </w:tc>
      </w:tr>
    </w:tbl>
    <w:p w14:paraId="7984E9CC">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6" w:name="_Toc186533269"/>
      <w:bookmarkStart w:id="77" w:name="_Toc1426"/>
      <w:bookmarkStart w:id="78" w:name="_Toc98250128"/>
      <w:r>
        <w:rPr>
          <w:rFonts w:ascii="Times New Roman" w:hAnsi="Times New Roman" w:cs="Times New Roman" w:eastAsiaTheme="minorEastAsia"/>
          <w:color w:val="000000" w:themeColor="text1"/>
          <w14:textFill>
            <w14:solidFill>
              <w14:schemeClr w14:val="tx1"/>
            </w14:solidFill>
          </w14:textFill>
        </w:rPr>
        <w:t>5.2.6  空气净化材料</w:t>
      </w:r>
      <w:bookmarkEnd w:id="76"/>
    </w:p>
    <w:p w14:paraId="39863BA2">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主要材料（系统）：空气净化材料。</w:t>
      </w:r>
    </w:p>
    <w:p w14:paraId="35F9C55E">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材料性能要求见表68：</w:t>
      </w:r>
    </w:p>
    <w:p w14:paraId="76C4E209">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表68</w:t>
      </w:r>
    </w:p>
    <w:tbl>
      <w:tblPr>
        <w:tblStyle w:val="21"/>
        <w:tblW w:w="0" w:type="auto"/>
        <w:tblInd w:w="1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14:paraId="4D0AE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14:paraId="287F8FF0">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11" w:type="dxa"/>
          </w:tcPr>
          <w:p w14:paraId="4FEB7B88">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14:paraId="15139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 w:hRule="atLeast"/>
        </w:trPr>
        <w:tc>
          <w:tcPr>
            <w:tcW w:w="3952" w:type="dxa"/>
          </w:tcPr>
          <w:p w14:paraId="3AC03789">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1.挥发性有机化合物含量：水性液态净化材料≤20g/L；其他≤3g/kg</w:t>
            </w:r>
          </w:p>
          <w:p w14:paraId="7E2C437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2.游离甲醛含量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（高效液相色谱法）≤10mg/kg</w:t>
            </w:r>
          </w:p>
          <w:p w14:paraId="281474E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3.甲醛释放量≤0.1mg/m³</w:t>
            </w:r>
          </w:p>
          <w:p w14:paraId="2232B63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4.放射性：内照射指数≤0.8；外照射指数≤1.0</w:t>
            </w:r>
          </w:p>
        </w:tc>
        <w:tc>
          <w:tcPr>
            <w:tcW w:w="4018" w:type="dxa"/>
            <w:vAlign w:val="center"/>
          </w:tcPr>
          <w:p w14:paraId="522CB9E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1.甲醛净化性能≥80%</w:t>
            </w:r>
          </w:p>
          <w:p w14:paraId="349613EA">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2.甲苯净化性能≥50%</w:t>
            </w:r>
          </w:p>
          <w:p w14:paraId="09B7B3FF">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3.净化功能寿命：甲醛净化效果持久性≥65%；甲苯净化效果持久性≥30%</w:t>
            </w:r>
          </w:p>
        </w:tc>
      </w:tr>
      <w:tr w14:paraId="5BDAEC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970" w:type="dxa"/>
            <w:gridSpan w:val="2"/>
          </w:tcPr>
          <w:p w14:paraId="79165B5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10045；</w:t>
            </w:r>
          </w:p>
          <w:p w14:paraId="7E716C90">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对水性液态净化材料的指标。</w:t>
            </w:r>
          </w:p>
        </w:tc>
      </w:tr>
    </w:tbl>
    <w:p w14:paraId="70B8FF24">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79" w:name="_Toc186533270"/>
      <w:r>
        <w:rPr>
          <w:rFonts w:ascii="Times New Roman" w:hAnsi="Times New Roman" w:cs="Times New Roman" w:eastAsiaTheme="minorEastAsia"/>
          <w:color w:val="000000" w:themeColor="text1"/>
          <w14:textFill>
            <w14:solidFill>
              <w14:schemeClr w14:val="tx1"/>
            </w14:solidFill>
          </w14:textFill>
        </w:rPr>
        <w:t>5.2.7  反射隔热涂料</w:t>
      </w:r>
      <w:bookmarkEnd w:id="79"/>
    </w:p>
    <w:p w14:paraId="05FD72C1">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主要材料（系统）：反射隔热涂料。</w:t>
      </w:r>
    </w:p>
    <w:p w14:paraId="182EF89C">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材料性能要求见表69：</w:t>
      </w:r>
    </w:p>
    <w:p w14:paraId="2A6CFDC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表69</w:t>
      </w:r>
    </w:p>
    <w:tbl>
      <w:tblPr>
        <w:tblStyle w:val="48"/>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89"/>
        <w:gridCol w:w="4093"/>
      </w:tblGrid>
      <w:tr w14:paraId="17B6B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11" w:type="dxa"/>
            <w:vAlign w:val="center"/>
          </w:tcPr>
          <w:p w14:paraId="346D393A">
            <w:pPr>
              <w:spacing w:line="240" w:lineRule="atLeast"/>
              <w:ind w:firstLine="0" w:firstLineChars="0"/>
              <w:jc w:val="center"/>
              <w:rPr>
                <w:rFonts w:ascii="Times New Roman" w:hAnsi="Times New Roman" w:cs="Times New Roman" w:eastAsiaTheme="minorEastAsia"/>
                <w:bCs/>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2B1AB10D">
            <w:pPr>
              <w:spacing w:line="240" w:lineRule="atLeast"/>
              <w:ind w:firstLine="0" w:firstLineChars="0"/>
              <w:jc w:val="center"/>
              <w:rPr>
                <w:rFonts w:ascii="Times New Roman" w:hAnsi="Times New Roman" w:cs="Times New Roman" w:eastAsiaTheme="minorEastAsia"/>
                <w:bCs/>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品质属性要求</w:t>
            </w:r>
          </w:p>
        </w:tc>
      </w:tr>
      <w:tr w14:paraId="155C2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3986" w:type="dxa"/>
            <w:vAlign w:val="center"/>
          </w:tcPr>
          <w:p w14:paraId="35DD7778">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1.挥</w:t>
            </w:r>
            <w:r>
              <w:rPr>
                <w:rFonts w:ascii="Times New Roman" w:hAnsi="Times New Roman" w:cs="Times New Roman" w:eastAsiaTheme="minorEastAsia"/>
                <w:color w:val="000000" w:themeColor="text1"/>
                <w:sz w:val="24"/>
                <w:szCs w:val="24"/>
                <w14:textFill>
                  <w14:solidFill>
                    <w14:schemeClr w14:val="tx1"/>
                  </w14:solidFill>
                </w14:textFill>
              </w:rPr>
              <w:t>发性有机化合物含量≤80g/L</w:t>
            </w:r>
          </w:p>
          <w:p w14:paraId="64756B29">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2.甲醛含量（乙酰丙酮法）≤40mg/kg</w:t>
            </w:r>
          </w:p>
          <w:p w14:paraId="592103D7">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3.苯、甲苯、乙苯和二甲苯的含量总和≤80mg/kg</w:t>
            </w:r>
          </w:p>
          <w:p w14:paraId="56B345EA">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4.重金属含量：铅≤45mg/kg；镉≤45mg/kg；六价铬≤40mg/kg；汞≤40mg/kg</w:t>
            </w:r>
          </w:p>
        </w:tc>
        <w:tc>
          <w:tcPr>
            <w:tcW w:w="4057" w:type="dxa"/>
          </w:tcPr>
          <w:p w14:paraId="4B2F1301">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bCs/>
                <w:color w:val="000000" w:themeColor="text1"/>
                <w:sz w:val="24"/>
                <w:szCs w:val="24"/>
                <w14:textFill>
                  <w14:solidFill>
                    <w14:schemeClr w14:val="tx1"/>
                  </w14:solidFill>
                </w14:textFill>
              </w:rPr>
              <w:t>1.</w:t>
            </w:r>
            <w:r>
              <w:rPr>
                <w:rFonts w:ascii="Times New Roman" w:hAnsi="Times New Roman" w:cs="Times New Roman" w:eastAsiaTheme="minorEastAsia"/>
                <w:color w:val="000000" w:themeColor="text1"/>
                <w:sz w:val="24"/>
                <w:szCs w:val="24"/>
                <w14:textFill>
                  <w14:solidFill>
                    <w14:schemeClr w14:val="tx1"/>
                  </w14:solidFill>
                </w14:textFill>
              </w:rPr>
              <w:t>太阳光反射比：</w:t>
            </w:r>
          </w:p>
          <w:p w14:paraId="4304314A">
            <w:pPr>
              <w:spacing w:line="240" w:lineRule="auto"/>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平涂涂料（L*＞95）≥0.85，平涂涂料（40＜L*≤95）≥L*/100-0.13，平涂涂料（L*≤40）≥0.30；质感涂料（L*＞40）≥L*/100-0.14，质感涂料（L*≤40）≥0.30</w:t>
            </w:r>
          </w:p>
          <w:p w14:paraId="6395E930">
            <w:pPr>
              <w:spacing w:line="240" w:lineRule="auto"/>
              <w:ind w:firstLine="0" w:firstLineChars="0"/>
              <w:rPr>
                <w:rFonts w:ascii="Times New Roman" w:hAnsi="Times New Roman" w:cs="Times New Roman" w:eastAsiaTheme="minorEastAsia"/>
                <w:bCs/>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2.近红外反射比：平涂涂料（L*＞95）≥0.85，平涂涂料（80＜L*≤95）≥0.83，平涂涂料（40＜L*≤80）≥L*/100+0.03，平涂涂料（L*≤40）≥0.43；质感涂料（L*＞80）≥0.78，质感涂料（40＜L*≤80）≥L*/100，质感涂料（L*≤40）</w:t>
            </w:r>
            <w:r>
              <w:rPr>
                <w:rFonts w:ascii="Times New Roman" w:hAnsi="Times New Roman" w:cs="Times New Roman" w:eastAsiaTheme="minorEastAsia"/>
                <w:bCs/>
                <w:color w:val="000000" w:themeColor="text1"/>
                <w:sz w:val="24"/>
                <w:szCs w:val="24"/>
                <w14:textFill>
                  <w14:solidFill>
                    <w14:schemeClr w14:val="tx1"/>
                  </w14:solidFill>
                </w14:textFill>
              </w:rPr>
              <w:t>≥0.45</w:t>
            </w:r>
          </w:p>
        </w:tc>
      </w:tr>
      <w:tr w14:paraId="119B2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8043" w:type="dxa"/>
            <w:gridSpan w:val="2"/>
          </w:tcPr>
          <w:p w14:paraId="37A967EF">
            <w:pPr>
              <w:spacing w:line="240" w:lineRule="atLeast"/>
              <w:ind w:firstLine="0" w:firstLineChars="0"/>
              <w:rPr>
                <w:rFonts w:ascii="Times New Roman" w:hAnsi="Times New Roman" w:cs="Times New Roman" w:eastAsiaTheme="minorEastAsia"/>
                <w:color w:val="000000" w:themeColor="text1"/>
                <w:sz w:val="24"/>
                <w:szCs w:val="24"/>
                <w14:textFill>
                  <w14:solidFill>
                    <w14:schemeClr w14:val="tx1"/>
                  </w14:solidFill>
                </w14:textFill>
              </w:rPr>
            </w:pPr>
            <w:r>
              <w:rPr>
                <w:rFonts w:ascii="Times New Roman" w:hAnsi="Times New Roman" w:cs="Times New Roman" w:eastAsiaTheme="minorEastAsia"/>
                <w:color w:val="000000" w:themeColor="text1"/>
                <w:sz w:val="24"/>
                <w:szCs w:val="24"/>
                <w14:textFill>
                  <w14:solidFill>
                    <w14:schemeClr w14:val="tx1"/>
                  </w14:solidFill>
                </w14:textFill>
              </w:rPr>
              <w:t>注：依据T/CECS 10044。</w:t>
            </w:r>
          </w:p>
        </w:tc>
      </w:tr>
    </w:tbl>
    <w:p w14:paraId="016EFE72">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80" w:name="_Toc186533271"/>
      <w:r>
        <w:rPr>
          <w:rFonts w:ascii="Times New Roman" w:hAnsi="Times New Roman" w:cs="Times New Roman" w:eastAsiaTheme="minorEastAsia"/>
          <w:color w:val="000000" w:themeColor="text1"/>
          <w14:textFill>
            <w14:solidFill>
              <w14:schemeClr w14:val="tx1"/>
            </w14:solidFill>
          </w14:textFill>
        </w:rPr>
        <w:t>5.2.8  壁纸壁布</w:t>
      </w:r>
      <w:bookmarkEnd w:id="77"/>
      <w:bookmarkEnd w:id="78"/>
      <w:bookmarkEnd w:id="80"/>
    </w:p>
    <w:p w14:paraId="5FEE5447">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主要材料（系统）：壁纸、壁布。</w:t>
      </w:r>
    </w:p>
    <w:p w14:paraId="24599EF6">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材料性能要求见表70：</w:t>
      </w:r>
    </w:p>
    <w:p w14:paraId="15B46A6E">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表70</w:t>
      </w:r>
    </w:p>
    <w:tbl>
      <w:tblPr>
        <w:tblStyle w:val="20"/>
        <w:tblW w:w="8086"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6"/>
      </w:tblGrid>
      <w:tr w14:paraId="1F131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86" w:type="dxa"/>
            <w:shd w:val="clear" w:color="auto" w:fill="auto"/>
            <w:vAlign w:val="center"/>
          </w:tcPr>
          <w:p w14:paraId="19BE9DE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r>
      <w:tr w14:paraId="03814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086" w:type="dxa"/>
            <w:shd w:val="clear" w:color="auto" w:fill="auto"/>
            <w:vAlign w:val="center"/>
          </w:tcPr>
          <w:p w14:paraId="750F8245">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甲醛释放限量≤10mg/kg；钡≤500mg/kg</w:t>
            </w:r>
          </w:p>
        </w:tc>
      </w:tr>
      <w:tr w14:paraId="2E8AA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086" w:type="dxa"/>
            <w:shd w:val="clear" w:color="auto" w:fill="auto"/>
            <w:vAlign w:val="center"/>
          </w:tcPr>
          <w:p w14:paraId="0DE766A9">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35613。</w:t>
            </w:r>
          </w:p>
        </w:tc>
      </w:tr>
    </w:tbl>
    <w:p w14:paraId="1B747676">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81" w:name="_Toc98250129"/>
      <w:bookmarkStart w:id="82" w:name="_Toc8035"/>
      <w:bookmarkStart w:id="83" w:name="_Toc186533272"/>
      <w:r>
        <w:rPr>
          <w:rFonts w:ascii="Times New Roman" w:hAnsi="Times New Roman" w:cs="Times New Roman" w:eastAsiaTheme="minorEastAsia"/>
          <w:color w:val="000000" w:themeColor="text1"/>
          <w14:textFill>
            <w14:solidFill>
              <w14:schemeClr w14:val="tx1"/>
            </w14:solidFill>
          </w14:textFill>
        </w:rPr>
        <w:t>5.2.9  石材</w:t>
      </w:r>
      <w:bookmarkEnd w:id="81"/>
      <w:bookmarkEnd w:id="82"/>
      <w:bookmarkEnd w:id="83"/>
    </w:p>
    <w:p w14:paraId="02CCFF6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主要材料（系统）：石材。</w:t>
      </w:r>
    </w:p>
    <w:p w14:paraId="03B9E628">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材料性能要求见表71：</w:t>
      </w:r>
    </w:p>
    <w:p w14:paraId="2673D039">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p>
    <w:p w14:paraId="30EAB619">
      <w:pPr>
        <w:pStyle w:val="35"/>
        <w:spacing w:line="588" w:lineRule="exact"/>
        <w:ind w:left="425" w:firstLine="0" w:firstLineChars="0"/>
        <w:rPr>
          <w:rFonts w:cs="Times New Roman" w:eastAsiaTheme="minorEastAsia"/>
          <w:color w:val="000000" w:themeColor="text1"/>
          <w:szCs w:val="28"/>
          <w14:textFill>
            <w14:solidFill>
              <w14:schemeClr w14:val="tx1"/>
            </w14:solidFill>
          </w14:textFill>
        </w:rPr>
      </w:pPr>
    </w:p>
    <w:p w14:paraId="482E1AA1">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表71</w:t>
      </w:r>
    </w:p>
    <w:tbl>
      <w:tblPr>
        <w:tblStyle w:val="20"/>
        <w:tblW w:w="8100"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14:paraId="24A5C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4111" w:type="dxa"/>
            <w:shd w:val="clear" w:color="auto" w:fill="auto"/>
            <w:vAlign w:val="center"/>
          </w:tcPr>
          <w:p w14:paraId="563D109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7999EF2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1944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4015" w:type="dxa"/>
            <w:shd w:val="clear" w:color="auto" w:fill="auto"/>
            <w:vAlign w:val="center"/>
          </w:tcPr>
          <w:p w14:paraId="1C66C5B5">
            <w:pPr>
              <w:widowControl/>
              <w:spacing w:line="240" w:lineRule="auto"/>
              <w:ind w:firstLine="0" w:firstLineChars="0"/>
              <w:jc w:val="left"/>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内照射指数I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kern w:val="0"/>
                <w:sz w:val="24"/>
                <w:szCs w:val="24"/>
                <w14:textFill>
                  <w14:solidFill>
                    <w14:schemeClr w14:val="tx1"/>
                  </w14:solidFill>
                </w14:textFill>
              </w:rPr>
              <w:t>≤0.9；外照射指数I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kern w:val="0"/>
                <w:sz w:val="24"/>
                <w:szCs w:val="24"/>
                <w14:textFill>
                  <w14:solidFill>
                    <w14:schemeClr w14:val="tx1"/>
                  </w14:solidFill>
                </w14:textFill>
              </w:rPr>
              <w:t>≤1.0</w:t>
            </w:r>
          </w:p>
        </w:tc>
        <w:tc>
          <w:tcPr>
            <w:tcW w:w="4085" w:type="dxa"/>
            <w:shd w:val="clear" w:color="auto" w:fill="auto"/>
            <w:vAlign w:val="center"/>
          </w:tcPr>
          <w:p w14:paraId="1768EC8A">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1.耐磨性</w:t>
            </w:r>
            <w:r>
              <w:rPr>
                <w:rFonts w:cs="Times New Roman" w:eastAsiaTheme="minorEastAsia"/>
                <w:bCs/>
                <w:color w:val="000000" w:themeColor="text1"/>
                <w:sz w:val="24"/>
                <w:szCs w:val="24"/>
                <w:vertAlign w:val="superscript"/>
                <w14:textFill>
                  <w14:solidFill>
                    <w14:schemeClr w14:val="tx1"/>
                  </w14:solidFill>
                </w14:textFill>
              </w:rPr>
              <w:t>a,b</w:t>
            </w:r>
            <w:r>
              <w:rPr>
                <w:rFonts w:cs="Times New Roman" w:eastAsiaTheme="minorEastAsia"/>
                <w:bCs/>
                <w:color w:val="000000" w:themeColor="text1"/>
                <w:sz w:val="24"/>
                <w:szCs w:val="24"/>
                <w14:textFill>
                  <w14:solidFill>
                    <w14:schemeClr w14:val="tx1"/>
                  </w14:solidFill>
                </w14:textFill>
              </w:rPr>
              <w:t>：实际耐磨度优于允许限值的1.2倍</w:t>
            </w:r>
          </w:p>
          <w:p w14:paraId="7B32852F">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2.强度：压缩强度、弯曲强度、抗折强度、剪切强度、落球冲击强度与允许限值的比值</w:t>
            </w:r>
            <w:r>
              <w:rPr>
                <w:rFonts w:cs="Times New Roman" w:eastAsiaTheme="minorEastAsia"/>
                <w:bCs/>
                <w:color w:val="000000" w:themeColor="text1"/>
                <w:sz w:val="24"/>
                <w:szCs w:val="24"/>
                <w:vertAlign w:val="superscript"/>
                <w14:textFill>
                  <w14:solidFill>
                    <w14:schemeClr w14:val="tx1"/>
                  </w14:solidFill>
                </w14:textFill>
              </w:rPr>
              <w:t>a</w:t>
            </w:r>
            <w:r>
              <w:rPr>
                <w:rFonts w:cs="Times New Roman" w:eastAsiaTheme="minorEastAsia"/>
                <w:bCs/>
                <w:color w:val="000000" w:themeColor="text1"/>
                <w:sz w:val="24"/>
                <w:szCs w:val="24"/>
                <w14:textFill>
                  <w14:solidFill>
                    <w14:schemeClr w14:val="tx1"/>
                  </w14:solidFill>
                </w14:textFill>
              </w:rPr>
              <w:t>≥1.1</w:t>
            </w:r>
          </w:p>
        </w:tc>
      </w:tr>
      <w:tr w14:paraId="3810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8100" w:type="dxa"/>
            <w:gridSpan w:val="2"/>
            <w:shd w:val="clear" w:color="auto" w:fill="auto"/>
            <w:vAlign w:val="center"/>
          </w:tcPr>
          <w:p w14:paraId="7C67DFC9">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10051；</w:t>
            </w:r>
          </w:p>
          <w:p w14:paraId="0D82A1E1">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当适用的产品标准未规定相关要求时，该产品不参评此指标；</w:t>
            </w:r>
          </w:p>
          <w:p w14:paraId="69A8821B">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石材复合板按使用面材的种类参评此指标。</w:t>
            </w:r>
          </w:p>
        </w:tc>
      </w:tr>
    </w:tbl>
    <w:p w14:paraId="4B98EFB8">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84" w:name="_Toc98250131"/>
      <w:bookmarkStart w:id="85" w:name="_Toc98131809"/>
      <w:bookmarkStart w:id="86" w:name="_Toc98132051"/>
      <w:bookmarkStart w:id="87" w:name="_Toc186533273"/>
      <w:bookmarkStart w:id="88" w:name="_Toc98131933"/>
      <w:bookmarkStart w:id="89" w:name="_Toc8165"/>
      <w:r>
        <w:rPr>
          <w:rFonts w:ascii="Times New Roman" w:hAnsi="Times New Roman" w:cs="Times New Roman" w:eastAsiaTheme="minorEastAsia"/>
          <w:color w:val="000000" w:themeColor="text1"/>
          <w14:textFill>
            <w14:solidFill>
              <w14:schemeClr w14:val="tx1"/>
            </w14:solidFill>
          </w14:textFill>
        </w:rPr>
        <w:t>5.2.10  镁质装饰材料</w:t>
      </w:r>
      <w:bookmarkEnd w:id="84"/>
      <w:bookmarkEnd w:id="85"/>
      <w:bookmarkEnd w:id="86"/>
      <w:bookmarkEnd w:id="87"/>
      <w:bookmarkEnd w:id="88"/>
    </w:p>
    <w:p w14:paraId="25B8776C">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主要材料（系统）：建筑用菱镁装饰板。</w:t>
      </w:r>
    </w:p>
    <w:p w14:paraId="16921BDE">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材料性能要求见表72:</w:t>
      </w:r>
    </w:p>
    <w:p w14:paraId="2F90D56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表72</w:t>
      </w:r>
    </w:p>
    <w:tbl>
      <w:tblPr>
        <w:tblStyle w:val="21"/>
        <w:tblW w:w="0" w:type="auto"/>
        <w:tblInd w:w="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14:paraId="4CD7F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6BB13B39">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593DE757">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761FBB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013" w:type="dxa"/>
          </w:tcPr>
          <w:p w14:paraId="66604F09">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1.放射性核素限量：I</w:t>
            </w:r>
            <w:r>
              <w:rPr>
                <w:rFonts w:ascii="Times New Roman" w:cs="Times New Roman" w:eastAsiaTheme="minorEastAsia"/>
                <w:color w:val="000000" w:themeColor="text1"/>
                <w:sz w:val="24"/>
                <w:szCs w:val="24"/>
                <w:vertAlign w:val="subscript"/>
                <w14:textFill>
                  <w14:solidFill>
                    <w14:schemeClr w14:val="tx1"/>
                  </w14:solidFill>
                </w14:textFill>
              </w:rPr>
              <w:t>Ra</w:t>
            </w:r>
            <w:r>
              <w:rPr>
                <w:rFonts w:ascii="Times New Roman" w:cs="Times New Roman" w:eastAsiaTheme="minorEastAsia"/>
                <w:color w:val="000000" w:themeColor="text1"/>
                <w:sz w:val="24"/>
                <w:szCs w:val="24"/>
                <w14:textFill>
                  <w14:solidFill>
                    <w14:schemeClr w14:val="tx1"/>
                  </w14:solidFill>
                </w14:textFill>
              </w:rPr>
              <w:t>≤0.3，I</w:t>
            </w:r>
            <w:r>
              <w:rPr>
                <w:rFonts w:ascii="Times New Roman" w:cs="Times New Roman" w:eastAsiaTheme="minorEastAsia"/>
                <w:color w:val="000000" w:themeColor="text1"/>
                <w:sz w:val="24"/>
                <w:szCs w:val="24"/>
                <w:vertAlign w:val="subscript"/>
                <w14:textFill>
                  <w14:solidFill>
                    <w14:schemeClr w14:val="tx1"/>
                  </w14:solidFill>
                </w14:textFill>
              </w:rPr>
              <w:t>r</w:t>
            </w:r>
            <w:r>
              <w:rPr>
                <w:rFonts w:ascii="Times New Roman" w:cs="Times New Roman" w:eastAsiaTheme="minorEastAsia"/>
                <w:color w:val="000000" w:themeColor="text1"/>
                <w:sz w:val="24"/>
                <w:szCs w:val="24"/>
                <w14:textFill>
                  <w14:solidFill>
                    <w14:schemeClr w14:val="tx1"/>
                  </w14:solidFill>
                </w14:textFill>
              </w:rPr>
              <w:t>≤0.5</w:t>
            </w:r>
          </w:p>
          <w:p w14:paraId="4D3F683D">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2.游离甲醛释放量≤0.08mg/m³</w:t>
            </w:r>
          </w:p>
          <w:p w14:paraId="1D773C3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3.可浸出重金属：总铬Cr≤1.5mg/L；铅Pb≤2.0mg/L；汞Hg≤0.02mg/L；镉Cd≤0.1mg/L；砷As≤0.6mg/L</w:t>
            </w:r>
          </w:p>
        </w:tc>
        <w:tc>
          <w:tcPr>
            <w:tcW w:w="4014" w:type="dxa"/>
            <w:vAlign w:val="center"/>
          </w:tcPr>
          <w:p w14:paraId="6B68E41F">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1.干缩率≤0.25%</w:t>
            </w:r>
          </w:p>
          <w:p w14:paraId="69B4D84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2.燃烧等级A</w:t>
            </w:r>
            <w:r>
              <w:rPr>
                <w:rFonts w:ascii="Times New Roman" w:cs="Times New Roman" w:eastAsiaTheme="minorEastAsia"/>
                <w:color w:val="000000" w:themeColor="text1"/>
                <w:sz w:val="24"/>
                <w:szCs w:val="24"/>
                <w:vertAlign w:val="subscript"/>
                <w14:textFill>
                  <w14:solidFill>
                    <w14:schemeClr w14:val="tx1"/>
                  </w14:solidFill>
                </w14:textFill>
              </w:rPr>
              <w:t>1</w:t>
            </w:r>
            <w:r>
              <w:rPr>
                <w:rFonts w:ascii="Times New Roman" w:cs="Times New Roman" w:eastAsiaTheme="minorEastAsia"/>
                <w:color w:val="000000" w:themeColor="text1"/>
                <w:sz w:val="24"/>
                <w:szCs w:val="24"/>
                <w14:textFill>
                  <w14:solidFill>
                    <w14:schemeClr w14:val="tx1"/>
                  </w14:solidFill>
                </w14:textFill>
              </w:rPr>
              <w:t>级</w:t>
            </w:r>
          </w:p>
          <w:p w14:paraId="1E19A15D">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3.吸水率≤20%</w:t>
            </w:r>
          </w:p>
          <w:p w14:paraId="359A0E59">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4.握螺钉力≥30N/mm</w:t>
            </w:r>
          </w:p>
        </w:tc>
      </w:tr>
      <w:tr w14:paraId="51C56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trPr>
        <w:tc>
          <w:tcPr>
            <w:tcW w:w="8027" w:type="dxa"/>
            <w:gridSpan w:val="2"/>
          </w:tcPr>
          <w:p w14:paraId="36D1D69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10052。</w:t>
            </w:r>
          </w:p>
        </w:tc>
      </w:tr>
      <w:bookmarkEnd w:id="89"/>
    </w:tbl>
    <w:p w14:paraId="31B4BBB7">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0" w:name="_Toc186533274"/>
      <w:bookmarkStart w:id="91" w:name="_Toc8557"/>
      <w:bookmarkStart w:id="92" w:name="_Toc98250134"/>
      <w:r>
        <w:rPr>
          <w:rFonts w:ascii="Times New Roman" w:hAnsi="Times New Roman" w:cs="Times New Roman" w:eastAsiaTheme="minorEastAsia"/>
          <w:color w:val="000000" w:themeColor="text1"/>
          <w14:textFill>
            <w14:solidFill>
              <w14:schemeClr w14:val="tx1"/>
            </w14:solidFill>
          </w14:textFill>
        </w:rPr>
        <w:t>5.2.11  镀锌轻钢龙骨</w:t>
      </w:r>
      <w:bookmarkEnd w:id="90"/>
    </w:p>
    <w:p w14:paraId="707148FB">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主要材料（系统）：镀锌轻钢龙骨。</w:t>
      </w:r>
    </w:p>
    <w:p w14:paraId="6C3ED218">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材料性能要求见表73：</w:t>
      </w:r>
    </w:p>
    <w:p w14:paraId="5E0FC56C">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表73</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14:paraId="706BB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14:paraId="68DC854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559C1C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62E5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vMerge w:val="restart"/>
            <w:shd w:val="clear" w:color="auto" w:fill="auto"/>
            <w:vAlign w:val="center"/>
          </w:tcPr>
          <w:p w14:paraId="506C17F2">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1.表面防锈：双面镀锌量≥100g/m</w:t>
            </w:r>
            <w:r>
              <w:rPr>
                <w:rFonts w:cs="Times New Roman" w:eastAsiaTheme="minorEastAsia"/>
                <w:color w:val="000000" w:themeColor="text1"/>
                <w:sz w:val="24"/>
                <w:szCs w:val="24"/>
                <w:vertAlign w:val="superscript"/>
                <w14:textFill>
                  <w14:solidFill>
                    <w14:schemeClr w14:val="tx1"/>
                  </w14:solidFill>
                </w14:textFill>
              </w:rPr>
              <w:t>2</w:t>
            </w:r>
          </w:p>
          <w:p w14:paraId="5942693F">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2.盐雾试验：≥24h，龙骨表面应无起泡、生锈现象</w:t>
            </w:r>
          </w:p>
        </w:tc>
        <w:tc>
          <w:tcPr>
            <w:tcW w:w="3991" w:type="dxa"/>
            <w:shd w:val="clear" w:color="auto" w:fill="auto"/>
            <w:vAlign w:val="center"/>
          </w:tcPr>
          <w:p w14:paraId="4A68BE2A">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墙体用</w:t>
            </w:r>
          </w:p>
          <w:p w14:paraId="25243C2D">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1.抗冲击性试验：残余变形量（龙骨不应有明显变形）≤9.0mm</w:t>
            </w:r>
          </w:p>
          <w:p w14:paraId="6E3686C5">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2.静载试验：残余变形量≤1.0mm</w:t>
            </w:r>
          </w:p>
        </w:tc>
      </w:tr>
      <w:tr w14:paraId="4486E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vMerge w:val="continue"/>
            <w:shd w:val="clear" w:color="auto" w:fill="auto"/>
            <w:vAlign w:val="center"/>
          </w:tcPr>
          <w:p w14:paraId="34E9987D">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p>
        </w:tc>
        <w:tc>
          <w:tcPr>
            <w:tcW w:w="3991" w:type="dxa"/>
            <w:shd w:val="clear" w:color="auto" w:fill="auto"/>
            <w:vAlign w:val="center"/>
          </w:tcPr>
          <w:p w14:paraId="7135B90C">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吊顶用</w:t>
            </w:r>
          </w:p>
          <w:p w14:paraId="36840163">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静载试验：</w:t>
            </w:r>
          </w:p>
          <w:p w14:paraId="6C575FB4">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覆面龙骨：加载挠度≤5.0mm，残余变形量≤1.0mm</w:t>
            </w:r>
          </w:p>
          <w:p w14:paraId="2D2CE593">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承载龙骨：加载挠度≤4.0mm，残余变形量≤1.0mm</w:t>
            </w:r>
          </w:p>
          <w:p w14:paraId="2216AEBD">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主龙骨：加载挠度≤2.8mm</w:t>
            </w:r>
          </w:p>
        </w:tc>
      </w:tr>
      <w:tr w14:paraId="3FD86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14:paraId="1D8D2D82">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10250。</w:t>
            </w:r>
          </w:p>
        </w:tc>
      </w:tr>
    </w:tbl>
    <w:p w14:paraId="3BF641FF">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3" w:name="_Toc186533275"/>
      <w:r>
        <w:rPr>
          <w:rFonts w:ascii="Times New Roman" w:hAnsi="Times New Roman" w:cs="Times New Roman" w:eastAsiaTheme="minorEastAsia"/>
          <w:color w:val="000000" w:themeColor="text1"/>
          <w14:textFill>
            <w14:solidFill>
              <w14:schemeClr w14:val="tx1"/>
            </w14:solidFill>
          </w14:textFill>
        </w:rPr>
        <w:t>5.2.12  重组材</w:t>
      </w:r>
      <w:bookmarkEnd w:id="93"/>
    </w:p>
    <w:p w14:paraId="5EF7008D">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（1）主要材料（系统）：重组竹。</w:t>
      </w:r>
    </w:p>
    <w:p w14:paraId="64787B1A">
      <w:pPr>
        <w:spacing w:line="588" w:lineRule="exact"/>
        <w:ind w:firstLine="560"/>
        <w:rPr>
          <w:rFonts w:cs="Times New Roman"/>
        </w:rPr>
      </w:pPr>
      <w:r>
        <w:rPr>
          <w:rFonts w:cs="Times New Roman" w:eastAsiaTheme="minorEastAsia"/>
          <w:color w:val="000000" w:themeColor="text1"/>
          <w:szCs w:val="28"/>
          <w14:textFill>
            <w14:solidFill>
              <w14:schemeClr w14:val="tx1"/>
            </w14:solidFill>
          </w14:textFill>
        </w:rPr>
        <w:t>材料性能要求见表74：</w:t>
      </w:r>
    </w:p>
    <w:p w14:paraId="0A0E3595">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表74</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14:paraId="2AC33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14:paraId="15D28A7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3B0498E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CC3F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14:paraId="28AD0593">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1.总挥发性有机化合物</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（TVOC）（室内用）：≤300μg/m</w:t>
            </w:r>
            <w:r>
              <w:rPr>
                <w:rFonts w:cs="Times New Roman" w:eastAsiaTheme="minorEastAsia"/>
                <w:color w:val="000000" w:themeColor="text1"/>
                <w:sz w:val="24"/>
                <w:szCs w:val="24"/>
                <w:vertAlign w:val="superscript"/>
                <w14:textFill>
                  <w14:solidFill>
                    <w14:schemeClr w14:val="tx1"/>
                  </w14:solidFill>
                </w14:textFill>
              </w:rPr>
              <w:t>3</w:t>
            </w:r>
          </w:p>
          <w:p w14:paraId="00BB7099">
            <w:pPr>
              <w:pStyle w:val="35"/>
              <w:widowControl/>
              <w:spacing w:line="240" w:lineRule="auto"/>
              <w:ind w:firstLine="0" w:firstLineChars="0"/>
              <w:jc w:val="left"/>
              <w:rPr>
                <w:rFonts w:cs="Times New Roman" w:eastAsiaTheme="minorEastAsia"/>
                <w:color w:val="000000" w:themeColor="text1"/>
                <w:w w:val="97"/>
                <w:sz w:val="24"/>
                <w:szCs w:val="24"/>
                <w14:textFill>
                  <w14:solidFill>
                    <w14:schemeClr w14:val="tx1"/>
                  </w14:solidFill>
                </w14:textFill>
              </w:rPr>
            </w:pPr>
            <w:r>
              <w:rPr>
                <w:rFonts w:cs="Times New Roman" w:eastAsiaTheme="minorEastAsia"/>
                <w:color w:val="000000" w:themeColor="text1"/>
                <w:w w:val="97"/>
                <w:sz w:val="24"/>
                <w:szCs w:val="24"/>
                <w14:textFill>
                  <w14:solidFill>
                    <w14:schemeClr w14:val="tx1"/>
                  </w14:solidFill>
                </w14:textFill>
              </w:rPr>
              <w:t>2.甲醛释放量（室内用）：≤0.08mg/m</w:t>
            </w:r>
            <w:r>
              <w:rPr>
                <w:rFonts w:cs="Times New Roman" w:eastAsiaTheme="minorEastAsia"/>
                <w:color w:val="000000" w:themeColor="text1"/>
                <w:w w:val="97"/>
                <w:sz w:val="24"/>
                <w:szCs w:val="24"/>
                <w:vertAlign w:val="superscript"/>
                <w14:textFill>
                  <w14:solidFill>
                    <w14:schemeClr w14:val="tx1"/>
                  </w14:solidFill>
                </w14:textFill>
              </w:rPr>
              <w:t>3</w:t>
            </w:r>
          </w:p>
        </w:tc>
        <w:tc>
          <w:tcPr>
            <w:tcW w:w="3991" w:type="dxa"/>
            <w:shd w:val="clear" w:color="auto" w:fill="auto"/>
            <w:vAlign w:val="center"/>
          </w:tcPr>
          <w:p w14:paraId="0635AE0E">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1.耐腐性（室外用）：不低于Ⅱ级</w:t>
            </w:r>
          </w:p>
          <w:p w14:paraId="157D5796">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2.耐久性（吸水厚度膨胀率）：室内用≤10.0%，室外用≤8.0%</w:t>
            </w:r>
          </w:p>
        </w:tc>
      </w:tr>
      <w:tr w14:paraId="5F112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14:paraId="2335D7C9">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10257；</w:t>
            </w:r>
          </w:p>
          <w:p w14:paraId="1F77DEF0">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试验气候箱的测试步骤和采样时间按HJ 571-2010附录A中A.5的规定进行。</w:t>
            </w:r>
          </w:p>
        </w:tc>
      </w:tr>
    </w:tbl>
    <w:p w14:paraId="4AE8E09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（2）主要材料（系统）：重组木。</w:t>
      </w:r>
    </w:p>
    <w:p w14:paraId="49B48DB4">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材料性能要求见表75：</w:t>
      </w:r>
    </w:p>
    <w:p w14:paraId="009D1A1D">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w:t>
      </w:r>
      <w:r>
        <w:rPr>
          <w:rFonts w:eastAsia="黑体" w:cs="Times New Roman"/>
          <w:b/>
          <w:color w:val="000000" w:themeColor="text1"/>
          <w:sz w:val="21"/>
          <w:szCs w:val="21"/>
          <w14:textFill>
            <w14:solidFill>
              <w14:schemeClr w14:val="tx1"/>
            </w14:solidFill>
          </w14:textFill>
        </w:rPr>
        <w:t>75</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9"/>
        <w:gridCol w:w="4051"/>
      </w:tblGrid>
      <w:tr w14:paraId="43886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09" w:type="dxa"/>
            <w:shd w:val="clear" w:color="auto" w:fill="auto"/>
            <w:vAlign w:val="center"/>
          </w:tcPr>
          <w:p w14:paraId="7025001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34C79A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1187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4109" w:type="dxa"/>
            <w:shd w:val="clear" w:color="auto" w:fill="auto"/>
            <w:vAlign w:val="center"/>
          </w:tcPr>
          <w:p w14:paraId="67386417">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1.总挥发性有机化合物</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（TVOC）（室内用）：≤300mg/m</w:t>
            </w:r>
            <w:r>
              <w:rPr>
                <w:rFonts w:cs="Times New Roman" w:eastAsiaTheme="minorEastAsia"/>
                <w:color w:val="000000" w:themeColor="text1"/>
                <w:sz w:val="24"/>
                <w:szCs w:val="24"/>
                <w:vertAlign w:val="superscript"/>
                <w14:textFill>
                  <w14:solidFill>
                    <w14:schemeClr w14:val="tx1"/>
                  </w14:solidFill>
                </w14:textFill>
              </w:rPr>
              <w:t>3</w:t>
            </w:r>
          </w:p>
          <w:p w14:paraId="07DE35F8">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w w:val="97"/>
                <w:sz w:val="24"/>
                <w:szCs w:val="24"/>
                <w14:textFill>
                  <w14:solidFill>
                    <w14:schemeClr w14:val="tx1"/>
                  </w14:solidFill>
                </w14:textFill>
              </w:rPr>
              <w:t>2.甲醛释放量（室内用）：≤0.08mg/m</w:t>
            </w:r>
            <w:r>
              <w:rPr>
                <w:rFonts w:cs="Times New Roman" w:eastAsiaTheme="minorEastAsia"/>
                <w:color w:val="000000" w:themeColor="text1"/>
                <w:w w:val="97"/>
                <w:sz w:val="24"/>
                <w:szCs w:val="24"/>
                <w:vertAlign w:val="superscript"/>
                <w14:textFill>
                  <w14:solidFill>
                    <w14:schemeClr w14:val="tx1"/>
                  </w14:solidFill>
                </w14:textFill>
              </w:rPr>
              <w:t>3</w:t>
            </w:r>
          </w:p>
        </w:tc>
        <w:tc>
          <w:tcPr>
            <w:tcW w:w="3991" w:type="dxa"/>
            <w:shd w:val="clear" w:color="auto" w:fill="auto"/>
            <w:vAlign w:val="center"/>
          </w:tcPr>
          <w:p w14:paraId="5D80FF1C">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1.耐腐性（室外用）：不低于Ⅱ级</w:t>
            </w:r>
          </w:p>
          <w:p w14:paraId="064847BA">
            <w:pPr>
              <w:pStyle w:val="35"/>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2.耐久性（吸水厚度膨胀率）：≤5.0%</w:t>
            </w:r>
          </w:p>
        </w:tc>
      </w:tr>
      <w:tr w14:paraId="7166D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00" w:type="dxa"/>
            <w:gridSpan w:val="2"/>
            <w:shd w:val="clear" w:color="auto" w:fill="auto"/>
            <w:vAlign w:val="center"/>
          </w:tcPr>
          <w:p w14:paraId="66AB1D93">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10257；</w:t>
            </w:r>
          </w:p>
          <w:p w14:paraId="0FFA6011">
            <w:pPr>
              <w:pStyle w:val="35"/>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试验气候箱的测试步骤和采样时间按HJ 571-2010附录A中A.5的规定进行。</w:t>
            </w:r>
          </w:p>
        </w:tc>
      </w:tr>
    </w:tbl>
    <w:p w14:paraId="56B8F123">
      <w:pPr>
        <w:pStyle w:val="3"/>
        <w:numPr>
          <w:ilvl w:val="1"/>
          <w:numId w:val="0"/>
        </w:numPr>
        <w:spacing w:line="588" w:lineRule="exact"/>
        <w:ind w:left="142"/>
        <w:rPr>
          <w:rFonts w:cs="Times New Roman"/>
          <w:color w:val="000000" w:themeColor="text1"/>
          <w14:textFill>
            <w14:solidFill>
              <w14:schemeClr w14:val="tx1"/>
            </w14:solidFill>
          </w14:textFill>
        </w:rPr>
      </w:pPr>
      <w:bookmarkStart w:id="94" w:name="_Toc186533276"/>
      <w:r>
        <w:rPr>
          <w:rFonts w:cs="Times New Roman"/>
          <w:color w:val="000000" w:themeColor="text1"/>
          <w14:textFill>
            <w14:solidFill>
              <w14:schemeClr w14:val="tx1"/>
            </w14:solidFill>
          </w14:textFill>
        </w:rPr>
        <w:t>Ⅲ  地面材料</w:t>
      </w:r>
      <w:bookmarkEnd w:id="91"/>
      <w:bookmarkEnd w:id="92"/>
      <w:bookmarkEnd w:id="94"/>
    </w:p>
    <w:p w14:paraId="290274BB">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5" w:name="_Toc186533277"/>
      <w:bookmarkStart w:id="96" w:name="_Toc98250135"/>
      <w:bookmarkStart w:id="97" w:name="_Toc3294"/>
      <w:r>
        <w:rPr>
          <w:rFonts w:ascii="Times New Roman" w:hAnsi="Times New Roman" w:cs="Times New Roman" w:eastAsiaTheme="minorEastAsia"/>
          <w:color w:val="000000" w:themeColor="text1"/>
          <w14:textFill>
            <w14:solidFill>
              <w14:schemeClr w14:val="tx1"/>
            </w14:solidFill>
          </w14:textFill>
        </w:rPr>
        <w:t>5.2.13  地面陶瓷砖（板）</w:t>
      </w:r>
      <w:bookmarkEnd w:id="95"/>
      <w:bookmarkEnd w:id="96"/>
      <w:bookmarkEnd w:id="97"/>
    </w:p>
    <w:p w14:paraId="09A75E3D">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主要材料（系统）：地面陶瓷砖（板）。</w:t>
      </w:r>
    </w:p>
    <w:p w14:paraId="15798077">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材料性能要求见表76：</w:t>
      </w:r>
    </w:p>
    <w:p w14:paraId="1C2B95AC">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表76</w:t>
      </w:r>
    </w:p>
    <w:tbl>
      <w:tblPr>
        <w:tblStyle w:val="20"/>
        <w:tblW w:w="8100"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14:paraId="71241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4111" w:type="dxa"/>
            <w:shd w:val="clear" w:color="auto" w:fill="auto"/>
            <w:vAlign w:val="center"/>
          </w:tcPr>
          <w:p w14:paraId="3342F4F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366FCAF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AF79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029" w:type="dxa"/>
            <w:shd w:val="clear" w:color="auto" w:fill="auto"/>
            <w:vAlign w:val="center"/>
          </w:tcPr>
          <w:p w14:paraId="107F334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内照射指数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Ra</w:t>
            </w:r>
            <w:r>
              <w:rPr>
                <w:rFonts w:cs="Times New Roman" w:eastAsiaTheme="minorEastAsia"/>
                <w:color w:val="000000" w:themeColor="text1"/>
                <w:sz w:val="24"/>
                <w:szCs w:val="24"/>
                <w14:textFill>
                  <w14:solidFill>
                    <w14:schemeClr w14:val="tx1"/>
                  </w14:solidFill>
                </w14:textFill>
              </w:rPr>
              <w:t>≤0.9；外照射指数</w:t>
            </w:r>
            <w:r>
              <w:rPr>
                <w:rFonts w:cs="Times New Roman" w:eastAsiaTheme="minorEastAsia"/>
                <w:color w:val="000000" w:themeColor="text1"/>
                <w:kern w:val="0"/>
                <w:sz w:val="24"/>
                <w:szCs w:val="24"/>
                <w14:textFill>
                  <w14:solidFill>
                    <w14:schemeClr w14:val="tx1"/>
                  </w14:solidFill>
                </w14:textFill>
              </w:rPr>
              <w:t>I</w:t>
            </w:r>
            <w:r>
              <w:rPr>
                <w:rFonts w:cs="Times New Roman" w:eastAsiaTheme="minorEastAsia"/>
                <w:color w:val="000000" w:themeColor="text1"/>
                <w:kern w:val="0"/>
                <w:sz w:val="24"/>
                <w:szCs w:val="24"/>
                <w:vertAlign w:val="subscript"/>
                <w14:textFill>
                  <w14:solidFill>
                    <w14:schemeClr w14:val="tx1"/>
                  </w14:solidFill>
                </w14:textFill>
              </w:rPr>
              <w:t>r</w:t>
            </w:r>
            <w:r>
              <w:rPr>
                <w:rFonts w:cs="Times New Roman" w:eastAsiaTheme="minorEastAsia"/>
                <w:color w:val="000000" w:themeColor="text1"/>
                <w:sz w:val="24"/>
                <w:szCs w:val="24"/>
                <w14:textFill>
                  <w14:solidFill>
                    <w14:schemeClr w14:val="tx1"/>
                  </w14:solidFill>
                </w14:textFill>
              </w:rPr>
              <w:t>≤1.2</w:t>
            </w:r>
          </w:p>
        </w:tc>
        <w:tc>
          <w:tcPr>
            <w:tcW w:w="4071" w:type="dxa"/>
            <w:shd w:val="clear" w:color="auto" w:fill="auto"/>
            <w:vAlign w:val="center"/>
          </w:tcPr>
          <w:p w14:paraId="41CD2F16">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1.耐磨性：无秞陶瓷砖、板≤150mm³，有秞陶瓷砖、板达到3级</w:t>
            </w:r>
          </w:p>
          <w:p w14:paraId="2E4D129A">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2.耐污染性≥4级</w:t>
            </w:r>
          </w:p>
          <w:p w14:paraId="510E0D28">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3.防滑性（摩擦系数干法）：广场砖≥0.60，其他≥0.55</w:t>
            </w:r>
          </w:p>
        </w:tc>
      </w:tr>
      <w:tr w14:paraId="6062A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8100" w:type="dxa"/>
            <w:gridSpan w:val="2"/>
            <w:shd w:val="clear" w:color="auto" w:fill="auto"/>
            <w:vAlign w:val="center"/>
          </w:tcPr>
          <w:p w14:paraId="51FD2EDA">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w:t>
            </w:r>
            <w:r>
              <w:rPr>
                <w:rFonts w:cs="Times New Roman" w:eastAsiaTheme="minorEastAsia"/>
                <w:color w:val="000000" w:themeColor="text1"/>
                <w:sz w:val="24"/>
                <w:szCs w:val="24"/>
                <w14:textFill>
                  <w14:solidFill>
                    <w14:schemeClr w14:val="tx1"/>
                  </w14:solidFill>
                </w14:textFill>
              </w:rPr>
              <w:t>依据T/CECS 10036、GB/T 50378。</w:t>
            </w:r>
          </w:p>
        </w:tc>
      </w:tr>
    </w:tbl>
    <w:p w14:paraId="6699A5D3">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98" w:name="_Toc186533278"/>
      <w:bookmarkStart w:id="99" w:name="_Toc98250136"/>
      <w:bookmarkStart w:id="100" w:name="_Toc20188"/>
      <w:r>
        <w:rPr>
          <w:rFonts w:ascii="Times New Roman" w:hAnsi="Times New Roman" w:cs="Times New Roman" w:eastAsiaTheme="minorEastAsia"/>
          <w:color w:val="000000" w:themeColor="text1"/>
          <w14:textFill>
            <w14:solidFill>
              <w14:schemeClr w14:val="tx1"/>
            </w14:solidFill>
          </w14:textFill>
        </w:rPr>
        <w:t>5.2.14  木地板</w:t>
      </w:r>
      <w:bookmarkEnd w:id="98"/>
      <w:bookmarkEnd w:id="99"/>
      <w:bookmarkEnd w:id="100"/>
    </w:p>
    <w:p w14:paraId="31F026CB">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主要材料（系统）：木地板。</w:t>
      </w:r>
    </w:p>
    <w:p w14:paraId="21869155">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材料性能要求见表77：</w:t>
      </w:r>
    </w:p>
    <w:p w14:paraId="5D36D42F">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表77</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6"/>
        <w:gridCol w:w="4066"/>
      </w:tblGrid>
      <w:tr w14:paraId="054D3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111" w:type="dxa"/>
            <w:shd w:val="clear" w:color="auto" w:fill="auto"/>
            <w:vAlign w:val="center"/>
          </w:tcPr>
          <w:p w14:paraId="6AD4AF3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14:paraId="08DB775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CC1A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trPr>
        <w:tc>
          <w:tcPr>
            <w:tcW w:w="4042" w:type="dxa"/>
            <w:shd w:val="clear" w:color="auto" w:fill="auto"/>
            <w:vAlign w:val="center"/>
          </w:tcPr>
          <w:p w14:paraId="08659EC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1.甲醛释放量≤0.05 mg/m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（实木地板不参评本条款）</w:t>
            </w:r>
          </w:p>
          <w:p w14:paraId="7696B549">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2.挥发性有机化合物（3d）：苯≤10 μg/m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；甲苯≤20 μg/m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；二甲苯≤20 μg/m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；总挥发性有机化合物（TVOC）≤100 μg/m</w:t>
            </w:r>
            <w:r>
              <w:rPr>
                <w:rFonts w:cs="Times New Roman" w:eastAsiaTheme="minorEastAsia"/>
                <w:color w:val="000000" w:themeColor="text1"/>
                <w:sz w:val="24"/>
                <w:szCs w:val="24"/>
                <w:vertAlign w:val="superscript"/>
                <w14:textFill>
                  <w14:solidFill>
                    <w14:schemeClr w14:val="tx1"/>
                  </w14:solidFill>
                </w14:textFill>
              </w:rPr>
              <w:t>3</w:t>
            </w:r>
          </w:p>
        </w:tc>
        <w:tc>
          <w:tcPr>
            <w:tcW w:w="4100" w:type="dxa"/>
            <w:shd w:val="clear" w:color="auto" w:fill="auto"/>
            <w:vAlign w:val="center"/>
          </w:tcPr>
          <w:p w14:paraId="1F3D0922">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耐磨性：</w:t>
            </w:r>
          </w:p>
          <w:p w14:paraId="6D0F56CB">
            <w:pPr>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实木地板漆膜表面耐磨≤0.10g/100r，且漆膜未渗透；实木复合地板表面耐磨≤0.15g/100r，且漆膜未磨透；浸渍纸层压木质地板表面耐磨：家用级≥6000r，商用级≥12000r</w:t>
            </w:r>
          </w:p>
        </w:tc>
      </w:tr>
      <w:tr w14:paraId="3A7B2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8142" w:type="dxa"/>
            <w:gridSpan w:val="2"/>
            <w:shd w:val="clear" w:color="auto" w:fill="auto"/>
            <w:vAlign w:val="center"/>
          </w:tcPr>
          <w:p w14:paraId="60889891">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35601、GB/T 18102、GB/T 18103等。</w:t>
            </w:r>
          </w:p>
        </w:tc>
      </w:tr>
    </w:tbl>
    <w:p w14:paraId="1F029CF9">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1" w:name="_Toc186533279"/>
      <w:bookmarkStart w:id="102" w:name="_Toc98131938"/>
      <w:bookmarkStart w:id="103" w:name="_Toc98131814"/>
      <w:bookmarkStart w:id="104" w:name="_Toc98132056"/>
      <w:bookmarkStart w:id="105" w:name="_Toc98250137"/>
      <w:bookmarkStart w:id="106" w:name="_Toc16033"/>
      <w:r>
        <w:rPr>
          <w:rFonts w:ascii="Times New Roman" w:hAnsi="Times New Roman" w:cs="Times New Roman" w:eastAsiaTheme="minorEastAsia"/>
          <w:color w:val="000000" w:themeColor="text1"/>
          <w14:textFill>
            <w14:solidFill>
              <w14:schemeClr w14:val="tx1"/>
            </w14:solidFill>
          </w14:textFill>
        </w:rPr>
        <w:t>5.2.15  竹集成材地板</w:t>
      </w:r>
      <w:bookmarkEnd w:id="101"/>
    </w:p>
    <w:p w14:paraId="6297454B">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主要材料（系统）：竹集成材地板。</w:t>
      </w:r>
    </w:p>
    <w:p w14:paraId="53FAEF8F">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材料性能要求见表78：</w:t>
      </w:r>
    </w:p>
    <w:p w14:paraId="16E195CD">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表78</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6"/>
        <w:gridCol w:w="4066"/>
      </w:tblGrid>
      <w:tr w14:paraId="4B669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111" w:type="dxa"/>
            <w:shd w:val="clear" w:color="auto" w:fill="auto"/>
            <w:vAlign w:val="center"/>
          </w:tcPr>
          <w:p w14:paraId="7036F83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14:paraId="1B8C51CD">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F9DA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042" w:type="dxa"/>
            <w:shd w:val="clear" w:color="auto" w:fill="auto"/>
            <w:vAlign w:val="center"/>
          </w:tcPr>
          <w:p w14:paraId="72F935D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1.甲醛释放量≤0.05mg/m</w:t>
            </w:r>
            <w:r>
              <w:rPr>
                <w:rFonts w:cs="Times New Roman" w:eastAsiaTheme="minorEastAsia"/>
                <w:color w:val="000000" w:themeColor="text1"/>
                <w:sz w:val="24"/>
                <w:szCs w:val="24"/>
                <w:vertAlign w:val="superscript"/>
                <w14:textFill>
                  <w14:solidFill>
                    <w14:schemeClr w14:val="tx1"/>
                  </w14:solidFill>
                </w14:textFill>
              </w:rPr>
              <w:t>3</w:t>
            </w:r>
          </w:p>
          <w:p w14:paraId="30C7EA8E">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2.总挥发性有机化合物（TVOC）≤300 μg/m</w:t>
            </w:r>
            <w:r>
              <w:rPr>
                <w:rFonts w:cs="Times New Roman" w:eastAsiaTheme="minorEastAsia"/>
                <w:color w:val="000000" w:themeColor="text1"/>
                <w:sz w:val="24"/>
                <w:szCs w:val="24"/>
                <w:vertAlign w:val="superscript"/>
                <w14:textFill>
                  <w14:solidFill>
                    <w14:schemeClr w14:val="tx1"/>
                  </w14:solidFill>
                </w14:textFill>
              </w:rPr>
              <w:t>3</w:t>
            </w:r>
          </w:p>
        </w:tc>
        <w:tc>
          <w:tcPr>
            <w:tcW w:w="4100" w:type="dxa"/>
            <w:shd w:val="clear" w:color="auto" w:fill="auto"/>
            <w:vAlign w:val="center"/>
          </w:tcPr>
          <w:p w14:paraId="407DF6FF">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1.表面漆膜耐磨性：磨耗转数：磨100r后表面未磨透，磨耗值≤0.10g/100r</w:t>
            </w:r>
          </w:p>
          <w:p w14:paraId="65CA5C0C">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2.表面抗冲击性能：压痕直径≤8mm，无裂纹</w:t>
            </w:r>
          </w:p>
        </w:tc>
      </w:tr>
      <w:tr w14:paraId="2DDC2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8142" w:type="dxa"/>
            <w:gridSpan w:val="2"/>
            <w:shd w:val="clear" w:color="auto" w:fill="auto"/>
            <w:vAlign w:val="center"/>
          </w:tcPr>
          <w:p w14:paraId="7E52CA40">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20240、GB/T 29899、GB 18580。</w:t>
            </w:r>
          </w:p>
        </w:tc>
      </w:tr>
    </w:tbl>
    <w:p w14:paraId="2B3DAB3D">
      <w:pPr>
        <w:pStyle w:val="35"/>
        <w:spacing w:line="588" w:lineRule="exact"/>
        <w:ind w:firstLine="560"/>
        <w:rPr>
          <w:rFonts w:cs="Times New Roman" w:eastAsiaTheme="minorEastAsia"/>
          <w:color w:val="000000" w:themeColor="text1"/>
          <w:szCs w:val="28"/>
          <w14:textFill>
            <w14:solidFill>
              <w14:schemeClr w14:val="tx1"/>
            </w14:solidFill>
          </w14:textFill>
        </w:rPr>
      </w:pPr>
    </w:p>
    <w:p w14:paraId="236E1776">
      <w:pPr>
        <w:pStyle w:val="35"/>
        <w:spacing w:line="588" w:lineRule="exact"/>
        <w:ind w:firstLine="560"/>
        <w:rPr>
          <w:rFonts w:cs="Times New Roman" w:eastAsiaTheme="minorEastAsia"/>
          <w:color w:val="000000" w:themeColor="text1"/>
          <w:szCs w:val="28"/>
          <w14:textFill>
            <w14:solidFill>
              <w14:schemeClr w14:val="tx1"/>
            </w14:solidFill>
          </w14:textFill>
        </w:rPr>
      </w:pPr>
    </w:p>
    <w:p w14:paraId="564C7B5F">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7" w:name="_Toc186533280"/>
      <w:r>
        <w:rPr>
          <w:rFonts w:ascii="Times New Roman" w:hAnsi="Times New Roman" w:cs="Times New Roman" w:eastAsiaTheme="minorEastAsia"/>
          <w:color w:val="000000" w:themeColor="text1"/>
          <w14:textFill>
            <w14:solidFill>
              <w14:schemeClr w14:val="tx1"/>
            </w14:solidFill>
          </w14:textFill>
        </w:rPr>
        <w:t>5.2.16  竹材饰面木质地板</w:t>
      </w:r>
      <w:bookmarkEnd w:id="107"/>
    </w:p>
    <w:p w14:paraId="0F27C9FD">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主要材料（系统）：竹材饰面木质地板。</w:t>
      </w:r>
    </w:p>
    <w:p w14:paraId="2138BCFD">
      <w:pPr>
        <w:pStyle w:val="35"/>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材料性能要求见表79：</w:t>
      </w:r>
    </w:p>
    <w:p w14:paraId="3398E47A">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表79</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6"/>
        <w:gridCol w:w="4066"/>
      </w:tblGrid>
      <w:tr w14:paraId="2CF94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4111" w:type="dxa"/>
            <w:shd w:val="clear" w:color="auto" w:fill="auto"/>
            <w:vAlign w:val="center"/>
          </w:tcPr>
          <w:p w14:paraId="29C6CE2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0" w:type="dxa"/>
            <w:shd w:val="clear" w:color="auto" w:fill="auto"/>
            <w:vAlign w:val="center"/>
          </w:tcPr>
          <w:p w14:paraId="4D576D4A">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C5A5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4042" w:type="dxa"/>
            <w:shd w:val="clear" w:color="auto" w:fill="auto"/>
            <w:vAlign w:val="center"/>
          </w:tcPr>
          <w:p w14:paraId="026A399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1.甲醛释放量≤0.05mg/m</w:t>
            </w:r>
            <w:r>
              <w:rPr>
                <w:rFonts w:cs="Times New Roman" w:eastAsiaTheme="minorEastAsia"/>
                <w:color w:val="000000" w:themeColor="text1"/>
                <w:sz w:val="24"/>
                <w:szCs w:val="24"/>
                <w:vertAlign w:val="superscript"/>
                <w14:textFill>
                  <w14:solidFill>
                    <w14:schemeClr w14:val="tx1"/>
                  </w14:solidFill>
                </w14:textFill>
              </w:rPr>
              <w:t>3</w:t>
            </w:r>
          </w:p>
          <w:p w14:paraId="6346BB5E">
            <w:pPr>
              <w:spacing w:line="240" w:lineRule="auto"/>
              <w:ind w:firstLine="0" w:firstLineChars="0"/>
              <w:jc w:val="left"/>
              <w:rPr>
                <w:rFonts w:cs="Times New Roman" w:eastAsiaTheme="minorEastAsia"/>
                <w:color w:val="000000" w:themeColor="text1"/>
                <w:sz w:val="24"/>
                <w:szCs w:val="24"/>
                <w:vertAlign w:val="superscript"/>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2.总挥发性有机化合物（TVOC）≤300 μg/m</w:t>
            </w:r>
            <w:r>
              <w:rPr>
                <w:rFonts w:cs="Times New Roman" w:eastAsiaTheme="minorEastAsia"/>
                <w:color w:val="000000" w:themeColor="text1"/>
                <w:sz w:val="24"/>
                <w:szCs w:val="24"/>
                <w:vertAlign w:val="superscript"/>
                <w14:textFill>
                  <w14:solidFill>
                    <w14:schemeClr w14:val="tx1"/>
                  </w14:solidFill>
                </w14:textFill>
              </w:rPr>
              <w:t>3</w:t>
            </w:r>
          </w:p>
        </w:tc>
        <w:tc>
          <w:tcPr>
            <w:tcW w:w="4100" w:type="dxa"/>
            <w:shd w:val="clear" w:color="auto" w:fill="auto"/>
            <w:vAlign w:val="center"/>
          </w:tcPr>
          <w:p w14:paraId="1EE824C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1.静曲强度：≥40MPa</w:t>
            </w:r>
          </w:p>
          <w:p w14:paraId="54E4F40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2.弹性模量：≥4.2×10</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MPa</w:t>
            </w:r>
          </w:p>
          <w:p w14:paraId="487BC8E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3.表面耐磨性能：≤0.10g/100r，且漆膜未磨透</w:t>
            </w:r>
          </w:p>
          <w:p w14:paraId="729058A1">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4.表面抗冲击性能：压痕直径≤8mm，无裂纹</w:t>
            </w:r>
          </w:p>
        </w:tc>
      </w:tr>
      <w:tr w14:paraId="4092B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8142" w:type="dxa"/>
            <w:gridSpan w:val="2"/>
            <w:shd w:val="clear" w:color="auto" w:fill="auto"/>
            <w:vAlign w:val="center"/>
          </w:tcPr>
          <w:p w14:paraId="279E97BF">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注：依据LY/T 2713、GB/T 29899、GB 18580。</w:t>
            </w:r>
          </w:p>
        </w:tc>
      </w:tr>
    </w:tbl>
    <w:p w14:paraId="06C69E4C">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8" w:name="_Toc186533281"/>
      <w:r>
        <w:rPr>
          <w:rFonts w:ascii="Times New Roman" w:hAnsi="Times New Roman" w:cs="Times New Roman" w:eastAsiaTheme="minorEastAsia"/>
          <w:color w:val="000000" w:themeColor="text1"/>
          <w14:textFill>
            <w14:solidFill>
              <w14:schemeClr w14:val="tx1"/>
            </w14:solidFill>
          </w14:textFill>
        </w:rPr>
        <w:t>5.2.17  弹性地板</w:t>
      </w:r>
      <w:bookmarkEnd w:id="102"/>
      <w:bookmarkEnd w:id="103"/>
      <w:bookmarkEnd w:id="104"/>
      <w:bookmarkEnd w:id="105"/>
      <w:bookmarkEnd w:id="108"/>
    </w:p>
    <w:p w14:paraId="1BCF7E9C">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（1）主要材料（系统）：聚氯乙烯类弹性地板。</w:t>
      </w:r>
    </w:p>
    <w:p w14:paraId="72D0F23D">
      <w:pPr>
        <w:spacing w:line="588" w:lineRule="exact"/>
        <w:ind w:firstLine="560"/>
        <w:rPr>
          <w:rFonts w:eastAsia="黑体" w:cs="Times New Roman"/>
          <w:color w:val="000000" w:themeColor="text1"/>
          <w:sz w:val="21"/>
          <w:szCs w:val="2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材料性能要求见表80：</w:t>
      </w:r>
    </w:p>
    <w:p w14:paraId="651F87F2">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表80</w:t>
      </w:r>
    </w:p>
    <w:tbl>
      <w:tblPr>
        <w:tblStyle w:val="21"/>
        <w:tblW w:w="0" w:type="auto"/>
        <w:tblInd w:w="8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5"/>
      </w:tblGrid>
      <w:tr w14:paraId="233CEA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14:paraId="2E2733F7">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15" w:type="dxa"/>
          </w:tcPr>
          <w:p w14:paraId="483E2DA5">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14:paraId="394CB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4071" w:type="dxa"/>
          </w:tcPr>
          <w:p w14:paraId="332CD2F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1.TVOC释放量（3d）≤0.70mg/（m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14:paraId="0B9682A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2.聚氯乙烯单体含量：不得检出</w:t>
            </w:r>
          </w:p>
          <w:p w14:paraId="68BFFEC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3.可溶性重金属含量：铅≤6mg/kg；镉≤3mg/kg；铬≤6mg/kg；汞≤3mg/kg</w:t>
            </w:r>
          </w:p>
        </w:tc>
        <w:tc>
          <w:tcPr>
            <w:tcW w:w="4115" w:type="dxa"/>
          </w:tcPr>
          <w:p w14:paraId="5826982D">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1.耐磨性（体积损失）≤4.0</w:t>
            </w:r>
            <w:r>
              <w:rPr>
                <w:rFonts w:ascii="Times New Roman" w:cs="Times New Roman" w:eastAsiaTheme="minorEastAsia"/>
                <w:color w:val="000000" w:themeColor="text1"/>
                <w:kern w:val="0"/>
                <w:sz w:val="24"/>
                <w:szCs w:val="24"/>
                <w14:textFill>
                  <w14:solidFill>
                    <w14:schemeClr w14:val="tx1"/>
                  </w14:solidFill>
                </w14:textFill>
              </w:rPr>
              <w:t xml:space="preserve"> mm</w:t>
            </w:r>
            <w:r>
              <w:rPr>
                <w:rFonts w:ascii="Times New Roman" w:cs="Times New Roman" w:eastAsiaTheme="minorEastAsia"/>
                <w:color w:val="000000" w:themeColor="text1"/>
                <w:kern w:val="0"/>
                <w:sz w:val="24"/>
                <w:szCs w:val="24"/>
                <w:vertAlign w:val="superscript"/>
                <w14:textFill>
                  <w14:solidFill>
                    <w14:schemeClr w14:val="tx1"/>
                  </w14:solidFill>
                </w14:textFill>
              </w:rPr>
              <w:t>3</w:t>
            </w:r>
          </w:p>
          <w:p w14:paraId="2A0ED11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2.燃烧性能≥B</w:t>
            </w:r>
            <w:r>
              <w:rPr>
                <w:rFonts w:ascii="Times New Roman" w:cs="Times New Roman" w:eastAsiaTheme="minorEastAsia"/>
                <w:color w:val="000000" w:themeColor="text1"/>
                <w:sz w:val="24"/>
                <w:szCs w:val="24"/>
                <w:vertAlign w:val="subscript"/>
                <w14:textFill>
                  <w14:solidFill>
                    <w14:schemeClr w14:val="tx1"/>
                  </w14:solidFill>
                </w14:textFill>
              </w:rPr>
              <w:t>1</w:t>
            </w:r>
            <w:r>
              <w:rPr>
                <w:rFonts w:ascii="Times New Roman" w:cs="Times New Roman" w:eastAsiaTheme="minorEastAsia"/>
                <w:color w:val="000000" w:themeColor="text1"/>
                <w:sz w:val="24"/>
                <w:szCs w:val="24"/>
                <w14:textFill>
                  <w14:solidFill>
                    <w14:schemeClr w14:val="tx1"/>
                  </w14:solidFill>
                </w14:textFill>
              </w:rPr>
              <w:t>级</w:t>
            </w:r>
          </w:p>
          <w:p w14:paraId="38AB8D8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3.色牢度≥6级</w:t>
            </w:r>
          </w:p>
          <w:p w14:paraId="7838AF3A">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4.残余凹陷≤0.20mm</w:t>
            </w:r>
          </w:p>
        </w:tc>
      </w:tr>
      <w:tr w14:paraId="1F1DB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86" w:type="dxa"/>
            <w:gridSpan w:val="2"/>
          </w:tcPr>
          <w:p w14:paraId="380B643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10252。</w:t>
            </w:r>
          </w:p>
        </w:tc>
      </w:tr>
    </w:tbl>
    <w:p w14:paraId="49892C34">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（2）主要材料（系统）：橡胶类弹性地板。</w:t>
      </w:r>
    </w:p>
    <w:p w14:paraId="2168FBFA">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材料性能要求见表81：</w:t>
      </w:r>
    </w:p>
    <w:p w14:paraId="5BBCD8E0">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表81</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29"/>
      </w:tblGrid>
      <w:tr w14:paraId="19AA4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4111" w:type="dxa"/>
          </w:tcPr>
          <w:p w14:paraId="2C482520">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绿色要求</w:t>
            </w:r>
          </w:p>
        </w:tc>
        <w:tc>
          <w:tcPr>
            <w:tcW w:w="4129" w:type="dxa"/>
          </w:tcPr>
          <w:p w14:paraId="13DAD653">
            <w:pPr>
              <w:widowControl/>
              <w:spacing w:line="240" w:lineRule="auto"/>
              <w:ind w:firstLine="0" w:firstLineChars="0"/>
              <w:jc w:val="center"/>
              <w:rPr>
                <w:rFonts w:ascii="Times New Roman" w:cs="Times New Roman" w:eastAsiaTheme="minorEastAsia"/>
                <w:color w:val="000000" w:themeColor="text1"/>
                <w:kern w:val="0"/>
                <w:sz w:val="24"/>
                <w:szCs w:val="24"/>
                <w14:textFill>
                  <w14:solidFill>
                    <w14:schemeClr w14:val="tx1"/>
                  </w14:solidFill>
                </w14:textFill>
              </w:rPr>
            </w:pPr>
            <w:r>
              <w:rPr>
                <w:rFonts w:ascii="Times New Roman" w:cs="Times New Roman" w:eastAsiaTheme="minorEastAsia"/>
                <w:color w:val="000000" w:themeColor="text1"/>
                <w:kern w:val="0"/>
                <w:sz w:val="24"/>
                <w:szCs w:val="24"/>
                <w14:textFill>
                  <w14:solidFill>
                    <w14:schemeClr w14:val="tx1"/>
                  </w14:solidFill>
                </w14:textFill>
              </w:rPr>
              <w:t>品质属性要求</w:t>
            </w:r>
          </w:p>
        </w:tc>
      </w:tr>
      <w:tr w14:paraId="2DB4E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4057" w:type="dxa"/>
          </w:tcPr>
          <w:p w14:paraId="1EF3C9E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1.甲醛释放量≤0.05mg/（m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14:paraId="21CD4A8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2.TVOC释放量≤0.80mg/（m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14:paraId="54F2C0C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3.丁基羟基甲苯≤0.02mg/（m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p w14:paraId="508C3E03">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4.4-苯基环己烯≤0.04mg/（m</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·h）</w:t>
            </w:r>
          </w:p>
        </w:tc>
        <w:tc>
          <w:tcPr>
            <w:tcW w:w="4129" w:type="dxa"/>
          </w:tcPr>
          <w:p w14:paraId="455B7E0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1.耐磨性≤220mm</w:t>
            </w:r>
            <w:r>
              <w:rPr>
                <w:rFonts w:ascii="Times New Roman" w:cs="Times New Roman" w:eastAsiaTheme="minorEastAsia"/>
                <w:color w:val="000000" w:themeColor="text1"/>
                <w:sz w:val="24"/>
                <w:szCs w:val="24"/>
                <w:vertAlign w:val="superscript"/>
                <w14:textFill>
                  <w14:solidFill>
                    <w14:schemeClr w14:val="tx1"/>
                  </w14:solidFill>
                </w14:textFill>
              </w:rPr>
              <w:t>3</w:t>
            </w:r>
          </w:p>
          <w:p w14:paraId="5B51EDD5">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2.燃烧性能≥B</w:t>
            </w:r>
            <w:r>
              <w:rPr>
                <w:rFonts w:ascii="Times New Roman" w:cs="Times New Roman" w:eastAsiaTheme="minorEastAsia"/>
                <w:color w:val="000000" w:themeColor="text1"/>
                <w:sz w:val="24"/>
                <w:szCs w:val="24"/>
                <w:vertAlign w:val="subscript"/>
                <w14:textFill>
                  <w14:solidFill>
                    <w14:schemeClr w14:val="tx1"/>
                  </w14:solidFill>
                </w14:textFill>
              </w:rPr>
              <w:t>1</w:t>
            </w:r>
            <w:r>
              <w:rPr>
                <w:rFonts w:ascii="Times New Roman" w:cs="Times New Roman" w:eastAsiaTheme="minorEastAsia"/>
                <w:color w:val="000000" w:themeColor="text1"/>
                <w:sz w:val="24"/>
                <w:szCs w:val="24"/>
                <w14:textFill>
                  <w14:solidFill>
                    <w14:schemeClr w14:val="tx1"/>
                  </w14:solidFill>
                </w14:textFill>
              </w:rPr>
              <w:t>级</w:t>
            </w:r>
          </w:p>
          <w:p w14:paraId="6A5CDF8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3.耐人造光色牢度≥4级</w:t>
            </w:r>
          </w:p>
          <w:p w14:paraId="1B820695">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4.残余凹陷≤0.20mm</w:t>
            </w:r>
          </w:p>
        </w:tc>
      </w:tr>
      <w:tr w14:paraId="6544F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86" w:type="dxa"/>
            <w:gridSpan w:val="2"/>
          </w:tcPr>
          <w:p w14:paraId="0D72006A">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10252。</w:t>
            </w:r>
          </w:p>
        </w:tc>
      </w:tr>
    </w:tbl>
    <w:p w14:paraId="5EBAC2E0">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（3）主要材料（系统）：软木类弹性地板。</w:t>
      </w:r>
    </w:p>
    <w:p w14:paraId="7DD446F7">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材料性能要求见表82：</w:t>
      </w:r>
    </w:p>
    <w:p w14:paraId="00571843">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表82</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4"/>
      </w:tblGrid>
      <w:tr w14:paraId="32C87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5F909866">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4" w:type="dxa"/>
          </w:tcPr>
          <w:p w14:paraId="7022C38E">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72D4E0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2" w:hRule="atLeast"/>
        </w:trPr>
        <w:tc>
          <w:tcPr>
            <w:tcW w:w="4043" w:type="dxa"/>
            <w:vAlign w:val="center"/>
          </w:tcPr>
          <w:p w14:paraId="6CD15D2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1.甲醛释放量≤0.05mg/m³</w:t>
            </w:r>
          </w:p>
          <w:p w14:paraId="2F3312BD">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2.TVOC（3d）≤200μg/m³，苯≤20μg/m³，甲苯≤40μg/m³，二甲苯≤40μg/m³</w:t>
            </w:r>
          </w:p>
          <w:p w14:paraId="5CE523F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3.可溶性重金属（铅、镉、铬、汞）总含量（色漆饰面）≤120mg/kg</w:t>
            </w:r>
          </w:p>
        </w:tc>
        <w:tc>
          <w:tcPr>
            <w:tcW w:w="4114" w:type="dxa"/>
            <w:vAlign w:val="center"/>
          </w:tcPr>
          <w:p w14:paraId="0463932D">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耐磨性≤0.12g/100r</w:t>
            </w:r>
          </w:p>
        </w:tc>
      </w:tr>
      <w:tr w14:paraId="483B9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57" w:type="dxa"/>
            <w:gridSpan w:val="2"/>
          </w:tcPr>
          <w:p w14:paraId="56DCD72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10252。</w:t>
            </w:r>
          </w:p>
        </w:tc>
      </w:tr>
    </w:tbl>
    <w:p w14:paraId="45B8849C">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09" w:name="_Toc98131939"/>
      <w:bookmarkStart w:id="110" w:name="_Toc186533282"/>
      <w:bookmarkStart w:id="111" w:name="_Toc98132057"/>
      <w:bookmarkStart w:id="112" w:name="_Toc98250138"/>
      <w:bookmarkStart w:id="113" w:name="_Toc98131815"/>
      <w:r>
        <w:rPr>
          <w:rFonts w:ascii="Times New Roman" w:hAnsi="Times New Roman" w:cs="Times New Roman" w:eastAsiaTheme="minorEastAsia"/>
          <w:color w:val="000000" w:themeColor="text1"/>
          <w14:textFill>
            <w14:solidFill>
              <w14:schemeClr w14:val="tx1"/>
            </w14:solidFill>
          </w14:textFill>
        </w:rPr>
        <w:t>5.2.18  透水铺装材料</w:t>
      </w:r>
      <w:bookmarkEnd w:id="106"/>
      <w:bookmarkEnd w:id="109"/>
      <w:bookmarkEnd w:id="110"/>
      <w:bookmarkEnd w:id="111"/>
      <w:bookmarkEnd w:id="112"/>
      <w:bookmarkEnd w:id="113"/>
    </w:p>
    <w:p w14:paraId="0CBC81F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（1）主要材料（系统）：透水路面砖及透水路面板类材料。</w:t>
      </w:r>
    </w:p>
    <w:p w14:paraId="62F2BD9A">
      <w:pPr>
        <w:spacing w:line="588" w:lineRule="exact"/>
        <w:ind w:firstLine="560"/>
        <w:rPr>
          <w:rFonts w:eastAsia="黑体" w:cs="Times New Roman"/>
          <w:color w:val="000000" w:themeColor="text1"/>
          <w:sz w:val="21"/>
          <w:szCs w:val="2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材料性能要求见表83：</w:t>
      </w:r>
    </w:p>
    <w:p w14:paraId="095BB518">
      <w:pPr>
        <w:spacing w:line="58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表83</w:t>
      </w:r>
    </w:p>
    <w:tbl>
      <w:tblPr>
        <w:tblStyle w:val="21"/>
        <w:tblW w:w="0" w:type="auto"/>
        <w:tblInd w:w="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08"/>
        <w:gridCol w:w="4145"/>
      </w:tblGrid>
      <w:tr w14:paraId="740E4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3A65B2F1">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504A5079">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414317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3979" w:type="dxa"/>
            <w:vAlign w:val="center"/>
          </w:tcPr>
          <w:p w14:paraId="17CD1989">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可浸出重金属浓度：</w:t>
            </w:r>
          </w:p>
          <w:p w14:paraId="30BE7B1D">
            <w:pPr>
              <w:spacing w:line="240" w:lineRule="auto"/>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总铬Cr≤1.5mg/L；铅Pb≤2.0mg/L；汞Hg≤0.02mg/L；镉Cd≤0.1mg/L；砷As≤0.6mg/L</w:t>
            </w:r>
          </w:p>
        </w:tc>
        <w:tc>
          <w:tcPr>
            <w:tcW w:w="4149" w:type="dxa"/>
            <w:vAlign w:val="center"/>
          </w:tcPr>
          <w:p w14:paraId="18EBECF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1.透水性：抗压强度＜30MPa：透水系数≥3.0×10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cm/s；抗压强度≥30MPa：透水系数≥2.0×10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cm/s</w:t>
            </w:r>
          </w:p>
          <w:p w14:paraId="3DA1D1B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2.防滑性能≥65BPN</w:t>
            </w:r>
          </w:p>
          <w:p w14:paraId="1C05ED9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3.耐磨性能（磨坑长度）≤30mm</w:t>
            </w:r>
          </w:p>
          <w:p w14:paraId="7755D43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4.抗压强度：车行荷载≥50MPa，人行荷载≥40MPa</w:t>
            </w:r>
          </w:p>
        </w:tc>
      </w:tr>
      <w:tr w14:paraId="2E550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28" w:type="dxa"/>
            <w:gridSpan w:val="2"/>
          </w:tcPr>
          <w:p w14:paraId="428A5C8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10228。</w:t>
            </w:r>
          </w:p>
        </w:tc>
      </w:tr>
    </w:tbl>
    <w:p w14:paraId="6E21E1CE">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（2）主要材料（系统）：透水水泥混凝土类材料。</w:t>
      </w:r>
    </w:p>
    <w:p w14:paraId="7C7FAB3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材料性能要求见表84：</w:t>
      </w:r>
    </w:p>
    <w:p w14:paraId="7BDCF409">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表84</w:t>
      </w:r>
    </w:p>
    <w:tbl>
      <w:tblPr>
        <w:tblStyle w:val="21"/>
        <w:tblW w:w="0" w:type="auto"/>
        <w:tblInd w:w="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49"/>
      </w:tblGrid>
      <w:tr w14:paraId="3B8F2A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4111" w:type="dxa"/>
          </w:tcPr>
          <w:p w14:paraId="70AE159F">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230BDC6A">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3606A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4008" w:type="dxa"/>
            <w:vAlign w:val="center"/>
          </w:tcPr>
          <w:p w14:paraId="233E4C4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可浸出重金属浓度：</w:t>
            </w:r>
          </w:p>
          <w:p w14:paraId="25FF9F0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总铬Cr≤1.5mg/L；铅Pb≤2.0mg/L；汞Hg≤0.02mg/L；镉Cd≤0.1mg/L；砷As≤0.6mg/L</w:t>
            </w:r>
          </w:p>
        </w:tc>
        <w:tc>
          <w:tcPr>
            <w:tcW w:w="4149" w:type="dxa"/>
            <w:vAlign w:val="center"/>
          </w:tcPr>
          <w:p w14:paraId="37464F7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1.透水性：抗压强度＜30MPa：透水系数≥4.0×10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 xml:space="preserve"> cm/s；抗压强度≥30MPa：透水系数≥3.0×10</w:t>
            </w:r>
            <w:r>
              <w:rPr>
                <w:rFonts w:ascii="Times New Roman" w:cs="Times New Roman" w:eastAsiaTheme="minorEastAsia"/>
                <w:color w:val="000000" w:themeColor="text1"/>
                <w:sz w:val="24"/>
                <w:szCs w:val="24"/>
                <w:vertAlign w:val="superscript"/>
                <w14:textFill>
                  <w14:solidFill>
                    <w14:schemeClr w14:val="tx1"/>
                  </w14:solidFill>
                </w14:textFill>
              </w:rPr>
              <w:t>-2</w:t>
            </w:r>
            <w:r>
              <w:rPr>
                <w:rFonts w:ascii="Times New Roman" w:cs="Times New Roman" w:eastAsiaTheme="minorEastAsia"/>
                <w:color w:val="000000" w:themeColor="text1"/>
                <w:sz w:val="24"/>
                <w:szCs w:val="24"/>
                <w14:textFill>
                  <w14:solidFill>
                    <w14:schemeClr w14:val="tx1"/>
                  </w14:solidFill>
                </w14:textFill>
              </w:rPr>
              <w:t xml:space="preserve"> cm/s</w:t>
            </w:r>
          </w:p>
          <w:p w14:paraId="23234D9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2.防滑性能≥70BPN</w:t>
            </w:r>
          </w:p>
          <w:p w14:paraId="50BFE2F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3.耐磨性能（磨坑长度）≤25mm</w:t>
            </w:r>
          </w:p>
        </w:tc>
      </w:tr>
      <w:tr w14:paraId="6A145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8157" w:type="dxa"/>
            <w:gridSpan w:val="2"/>
          </w:tcPr>
          <w:p w14:paraId="58547E5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10228。</w:t>
            </w:r>
          </w:p>
        </w:tc>
      </w:tr>
    </w:tbl>
    <w:p w14:paraId="5DB900B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（3）主要材料（系统）：透水沥青混合料类材料。</w:t>
      </w:r>
    </w:p>
    <w:p w14:paraId="4EF8764A">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材料性能要求见表85：</w:t>
      </w:r>
    </w:p>
    <w:p w14:paraId="5F3297F2">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表85</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95"/>
        <w:gridCol w:w="4144"/>
      </w:tblGrid>
      <w:tr w14:paraId="42D47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759A2D13">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3531D646">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26E51E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50" w:hRule="atLeast"/>
        </w:trPr>
        <w:tc>
          <w:tcPr>
            <w:tcW w:w="3936" w:type="dxa"/>
            <w:vAlign w:val="center"/>
          </w:tcPr>
          <w:p w14:paraId="1D675E98">
            <w:pPr>
              <w:numPr>
                <w:ilvl w:val="0"/>
                <w:numId w:val="4"/>
              </w:num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可浸出重金属浓度：</w:t>
            </w:r>
          </w:p>
          <w:p w14:paraId="37786749">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总铬Cr≤1.5mg/L；铅Pb≤2.0mg/L；汞Hg≤0.02mg/L；镉Cd≤0.1mg/L；砷As≤0.6mg/L</w:t>
            </w:r>
          </w:p>
          <w:p w14:paraId="2D954B7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2.总悬浮颗粒物（TSP）：24小时平均浓度≤300μg/m³</w:t>
            </w:r>
          </w:p>
          <w:p w14:paraId="79D11C2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 苯并(a)芘（BaP）：24小时平均浓度≤0.0025μg/m³</w:t>
            </w:r>
          </w:p>
        </w:tc>
        <w:tc>
          <w:tcPr>
            <w:tcW w:w="4164" w:type="dxa"/>
            <w:vAlign w:val="center"/>
          </w:tcPr>
          <w:p w14:paraId="3FCAA407">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1.透水性：透水系数≥850mL/15s</w:t>
            </w:r>
          </w:p>
          <w:p w14:paraId="493451D3">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2.析漏损失率＜0.3%</w:t>
            </w:r>
          </w:p>
          <w:p w14:paraId="0133181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3.动稳定度≥4000次/mm</w:t>
            </w:r>
          </w:p>
        </w:tc>
      </w:tr>
      <w:tr w14:paraId="1FF15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 w:hRule="atLeast"/>
        </w:trPr>
        <w:tc>
          <w:tcPr>
            <w:tcW w:w="8100" w:type="dxa"/>
            <w:gridSpan w:val="2"/>
          </w:tcPr>
          <w:p w14:paraId="42EB7967">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10228。</w:t>
            </w:r>
          </w:p>
        </w:tc>
      </w:tr>
    </w:tbl>
    <w:p w14:paraId="30DD2C51">
      <w:pPr>
        <w:pStyle w:val="3"/>
        <w:numPr>
          <w:ilvl w:val="1"/>
          <w:numId w:val="0"/>
        </w:numPr>
        <w:spacing w:line="588" w:lineRule="exact"/>
        <w:ind w:left="142"/>
        <w:rPr>
          <w:rFonts w:cs="Times New Roman"/>
          <w:color w:val="000000" w:themeColor="text1"/>
          <w14:textFill>
            <w14:solidFill>
              <w14:schemeClr w14:val="tx1"/>
            </w14:solidFill>
          </w14:textFill>
        </w:rPr>
      </w:pPr>
      <w:bookmarkStart w:id="114" w:name="_Toc98250139"/>
      <w:bookmarkStart w:id="115" w:name="_Toc17930"/>
      <w:bookmarkStart w:id="116" w:name="_Toc186533283"/>
      <w:r>
        <w:rPr>
          <w:rFonts w:cs="Times New Roman"/>
          <w:color w:val="000000" w:themeColor="text1"/>
          <w14:textFill>
            <w14:solidFill>
              <w14:schemeClr w14:val="tx1"/>
            </w14:solidFill>
          </w14:textFill>
        </w:rPr>
        <w:t>Ⅳ  五金卫浴</w:t>
      </w:r>
      <w:bookmarkEnd w:id="114"/>
      <w:bookmarkEnd w:id="115"/>
      <w:bookmarkEnd w:id="116"/>
    </w:p>
    <w:p w14:paraId="6C9544EF">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17" w:name="_Toc186533284"/>
      <w:bookmarkStart w:id="118" w:name="_Toc98250140"/>
      <w:bookmarkStart w:id="119" w:name="_Toc980"/>
      <w:r>
        <w:rPr>
          <w:rFonts w:ascii="Times New Roman" w:hAnsi="Times New Roman" w:cs="Times New Roman" w:eastAsiaTheme="minorEastAsia"/>
          <w:color w:val="000000" w:themeColor="text1"/>
          <w14:textFill>
            <w14:solidFill>
              <w14:schemeClr w14:val="tx1"/>
            </w14:solidFill>
          </w14:textFill>
        </w:rPr>
        <w:t>5.2.19  卫生洁具</w:t>
      </w:r>
      <w:bookmarkEnd w:id="117"/>
      <w:bookmarkEnd w:id="118"/>
      <w:bookmarkEnd w:id="119"/>
    </w:p>
    <w:p w14:paraId="55D14A17">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（1）主要材料（系统）：便器。</w:t>
      </w:r>
    </w:p>
    <w:p w14:paraId="6F8FC6F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材料性能要求见表86：</w:t>
      </w:r>
    </w:p>
    <w:p w14:paraId="7B0D9294">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表86</w:t>
      </w:r>
    </w:p>
    <w:tbl>
      <w:tblPr>
        <w:tblStyle w:val="20"/>
        <w:tblW w:w="8128"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8"/>
      </w:tblGrid>
      <w:tr w14:paraId="1298D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222" w:type="dxa"/>
            <w:shd w:val="clear" w:color="auto" w:fill="auto"/>
            <w:vAlign w:val="center"/>
          </w:tcPr>
          <w:p w14:paraId="7DF7A127">
            <w:pPr>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品质属性要求</w:t>
            </w:r>
          </w:p>
        </w:tc>
      </w:tr>
      <w:tr w14:paraId="70FA0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28" w:type="dxa"/>
            <w:shd w:val="clear" w:color="auto" w:fill="auto"/>
            <w:vAlign w:val="center"/>
          </w:tcPr>
          <w:p w14:paraId="1CB7E384">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全部便器的用水效率等级达到2级</w:t>
            </w:r>
          </w:p>
        </w:tc>
      </w:tr>
      <w:tr w14:paraId="6A343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8" w:type="dxa"/>
            <w:shd w:val="clear" w:color="auto" w:fill="auto"/>
            <w:vAlign w:val="center"/>
          </w:tcPr>
          <w:p w14:paraId="0F231C4B">
            <w:pPr>
              <w:widowControl/>
              <w:spacing w:line="240" w:lineRule="auto"/>
              <w:ind w:firstLine="0" w:firstLineChars="0"/>
              <w:jc w:val="left"/>
              <w:rPr>
                <w:rFonts w:cs="Times New Roman" w:eastAsiaTheme="minorEastAsia"/>
                <w:b/>
                <w:color w:val="000000" w:themeColor="text1"/>
                <w:sz w:val="24"/>
                <w:szCs w:val="24"/>
                <w14:textFill>
                  <w14:solidFill>
                    <w14:schemeClr w14:val="tx1"/>
                  </w14:solidFill>
                </w14:textFill>
              </w:rPr>
            </w:pPr>
            <w:bookmarkStart w:id="120" w:name="_Toc50028820"/>
            <w:r>
              <w:rPr>
                <w:rFonts w:cs="Times New Roman" w:eastAsiaTheme="minorEastAsia"/>
                <w:color w:val="000000" w:themeColor="text1"/>
                <w:sz w:val="24"/>
                <w:szCs w:val="24"/>
                <w14:textFill>
                  <w14:solidFill>
                    <w14:schemeClr w14:val="tx1"/>
                  </w14:solidFill>
                </w14:textFill>
              </w:rPr>
              <w:t>注：依据GB/T 6952、GB 25502、GB 28377、GB 28379、GB 30717</w:t>
            </w:r>
            <w:bookmarkEnd w:id="120"/>
            <w:r>
              <w:rPr>
                <w:rFonts w:cs="Times New Roman" w:eastAsiaTheme="minorEastAsia"/>
                <w:color w:val="000000" w:themeColor="text1"/>
                <w:sz w:val="24"/>
                <w:szCs w:val="24"/>
                <w14:textFill>
                  <w14:solidFill>
                    <w14:schemeClr w14:val="tx1"/>
                  </w14:solidFill>
                </w14:textFill>
              </w:rPr>
              <w:t>、T/CECS 10037等。</w:t>
            </w:r>
          </w:p>
        </w:tc>
      </w:tr>
    </w:tbl>
    <w:p w14:paraId="35439695">
      <w:pPr>
        <w:spacing w:line="588" w:lineRule="exact"/>
        <w:ind w:firstLine="560"/>
        <w:rPr>
          <w:rFonts w:cs="Times New Roman" w:eastAsiaTheme="minorEastAsia"/>
          <w:color w:val="000000" w:themeColor="text1"/>
          <w14:textFill>
            <w14:solidFill>
              <w14:schemeClr w14:val="tx1"/>
            </w14:solidFill>
          </w14:textFill>
        </w:rPr>
      </w:pPr>
      <w:bookmarkStart w:id="121" w:name="_Toc98250141"/>
      <w:bookmarkStart w:id="122" w:name="_Toc1489"/>
      <w:r>
        <w:rPr>
          <w:rFonts w:cs="Times New Roman" w:eastAsiaTheme="minorEastAsia"/>
          <w:color w:val="000000" w:themeColor="text1"/>
          <w14:textFill>
            <w14:solidFill>
              <w14:schemeClr w14:val="tx1"/>
            </w14:solidFill>
          </w14:textFill>
        </w:rPr>
        <w:t>（2）主要材料（系统）：智能坐便器。</w:t>
      </w:r>
    </w:p>
    <w:p w14:paraId="0A6AE6B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材料性能要求见表87：</w:t>
      </w:r>
    </w:p>
    <w:p w14:paraId="330C6789">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表87</w:t>
      </w:r>
    </w:p>
    <w:tbl>
      <w:tblPr>
        <w:tblStyle w:val="20"/>
        <w:tblW w:w="8143"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7"/>
        <w:gridCol w:w="4096"/>
      </w:tblGrid>
      <w:tr w14:paraId="6D942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 w:hRule="atLeast"/>
        </w:trPr>
        <w:tc>
          <w:tcPr>
            <w:tcW w:w="4111" w:type="dxa"/>
            <w:shd w:val="clear" w:color="auto" w:fill="auto"/>
            <w:vAlign w:val="center"/>
          </w:tcPr>
          <w:p w14:paraId="0854853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1096C5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DB5C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82" w:type="dxa"/>
            <w:shd w:val="clear" w:color="auto" w:fill="auto"/>
            <w:vAlign w:val="center"/>
          </w:tcPr>
          <w:p w14:paraId="7B2CC8E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1.整机寿命：经25000个循环的寿命试验后，各部件不应出现裂纹、开裂、破损、断裂、功能异常等现象</w:t>
            </w:r>
          </w:p>
          <w:p w14:paraId="27ED347C">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2.自动关闭：清洗系统应配备自保护安全装置，当喷水温度达到48℃时，应自动切断或关闭水流</w:t>
            </w:r>
          </w:p>
        </w:tc>
        <w:tc>
          <w:tcPr>
            <w:tcW w:w="4161" w:type="dxa"/>
            <w:shd w:val="clear" w:color="auto" w:fill="auto"/>
            <w:vAlign w:val="center"/>
          </w:tcPr>
          <w:p w14:paraId="12D23C40">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1.清洗水量：不低于2级</w:t>
            </w:r>
          </w:p>
          <w:p w14:paraId="53BEF6F0">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2.冲洗用水量：不低于2级</w:t>
            </w:r>
          </w:p>
          <w:p w14:paraId="51BED42D">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3.洗净功能：</w:t>
            </w:r>
          </w:p>
          <w:p w14:paraId="2AC246F3">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每次冲洗后累积残留墨线总长度≤20mm</w:t>
            </w:r>
          </w:p>
          <w:p w14:paraId="75468AAC">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每一段残留墨线长度≤8mm</w:t>
            </w:r>
          </w:p>
        </w:tc>
      </w:tr>
      <w:tr w14:paraId="1914B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8143" w:type="dxa"/>
            <w:gridSpan w:val="2"/>
            <w:shd w:val="clear" w:color="auto" w:fill="auto"/>
            <w:vAlign w:val="center"/>
          </w:tcPr>
          <w:p w14:paraId="5E6E4F6B">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w:t>
            </w:r>
            <w:r>
              <w:rPr>
                <w:rFonts w:cs="Times New Roman" w:eastAsiaTheme="minorEastAsia"/>
                <w:color w:val="000000" w:themeColor="text1"/>
                <w:sz w:val="24"/>
                <w:szCs w:val="24"/>
                <w14:textFill>
                  <w14:solidFill>
                    <w14:schemeClr w14:val="tx1"/>
                  </w14:solidFill>
                </w14:textFill>
              </w:rPr>
              <w:t>T/CECS 10246。</w:t>
            </w:r>
          </w:p>
        </w:tc>
      </w:tr>
    </w:tbl>
    <w:p w14:paraId="0D1E4C75">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23" w:name="_Toc186533285"/>
      <w:r>
        <w:rPr>
          <w:rFonts w:ascii="Times New Roman" w:hAnsi="Times New Roman" w:cs="Times New Roman" w:eastAsiaTheme="minorEastAsia"/>
          <w:color w:val="000000" w:themeColor="text1"/>
          <w14:textFill>
            <w14:solidFill>
              <w14:schemeClr w14:val="tx1"/>
            </w14:solidFill>
          </w14:textFill>
        </w:rPr>
        <w:t>5.2.20  五金配件</w:t>
      </w:r>
      <w:bookmarkEnd w:id="121"/>
      <w:bookmarkEnd w:id="122"/>
      <w:bookmarkEnd w:id="123"/>
    </w:p>
    <w:p w14:paraId="2E3E5F68">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主要材料（系统）：水嘴。</w:t>
      </w:r>
    </w:p>
    <w:p w14:paraId="6620F456">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材料性能要求见表88：</w:t>
      </w:r>
    </w:p>
    <w:p w14:paraId="53C4668A">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表88</w:t>
      </w:r>
    </w:p>
    <w:tbl>
      <w:tblPr>
        <w:tblStyle w:val="20"/>
        <w:tblW w:w="8143"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7"/>
        <w:gridCol w:w="4096"/>
      </w:tblGrid>
      <w:tr w14:paraId="21A97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1" w:type="dxa"/>
            <w:shd w:val="clear" w:color="auto" w:fill="auto"/>
            <w:vAlign w:val="center"/>
          </w:tcPr>
          <w:p w14:paraId="43311AF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35A0EE7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62F25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82" w:type="dxa"/>
            <w:shd w:val="clear" w:color="auto" w:fill="auto"/>
            <w:vAlign w:val="center"/>
          </w:tcPr>
          <w:p w14:paraId="75CEBEE4">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产品金属污染物析出统计值</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w:t>
            </w:r>
          </w:p>
          <w:p w14:paraId="3939B75B">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铅Pb≤4ug/L；铜Cu≤100ug/L；</w:t>
            </w:r>
          </w:p>
          <w:p w14:paraId="542EA28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铬Cr≤7ug/L；</w:t>
            </w:r>
            <w:r>
              <w:fldChar w:fldCharType="begin"/>
            </w:r>
            <w:r>
              <w:instrText xml:space="preserve"> HYPERLINK "https://baike.baidu.com/item/%E9%95%89?fromModule=lemma_inlink" \t "https://baike.baidu.com/item/%E5%85%83%E7%B4%A0%E5%91%A8%E6%9C%9F%E8%A1%A8/_blank" </w:instrText>
            </w:r>
            <w:r>
              <w:fldChar w:fldCharType="separate"/>
            </w:r>
            <w:r>
              <w:rPr>
                <w:rFonts w:cs="Times New Roman" w:eastAsiaTheme="minorEastAsia"/>
                <w:color w:val="000000" w:themeColor="text1"/>
                <w:sz w:val="24"/>
                <w:szCs w:val="24"/>
                <w14:textFill>
                  <w14:solidFill>
                    <w14:schemeClr w14:val="tx1"/>
                  </w14:solidFill>
                </w14:textFill>
              </w:rPr>
              <w:t>镉</w:t>
            </w:r>
            <w:r>
              <w:rPr>
                <w:rFonts w:cs="Times New Roman" w:eastAsiaTheme="minorEastAsia"/>
                <w:color w:val="000000" w:themeColor="text1"/>
                <w:sz w:val="24"/>
                <w:szCs w:val="24"/>
                <w14:textFill>
                  <w14:solidFill>
                    <w14:schemeClr w14:val="tx1"/>
                  </w14:solidFill>
                </w14:textFill>
              </w:rPr>
              <w:fldChar w:fldCharType="end"/>
            </w:r>
            <w:r>
              <w:rPr>
                <w:rFonts w:cs="Times New Roman" w:eastAsiaTheme="minorEastAsia"/>
                <w:color w:val="000000" w:themeColor="text1"/>
                <w:sz w:val="24"/>
                <w:szCs w:val="24"/>
                <w14:textFill>
                  <w14:solidFill>
                    <w14:schemeClr w14:val="tx1"/>
                  </w14:solidFill>
                </w14:textFill>
              </w:rPr>
              <w:t>Cd≤0.4ug/L；</w:t>
            </w:r>
          </w:p>
          <w:p w14:paraId="4036C64A">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fldChar w:fldCharType="begin"/>
            </w:r>
            <w:r>
              <w:instrText xml:space="preserve"> HYPERLINK "https://baike.baidu.com/item/%E7%A0%B7?fromModule=lemma_inlink" \t "https://baike.baidu.com/item/%E5%85%83%E7%B4%A0%E5%91%A8%E6%9C%9F%E8%A1%A8/_blank" </w:instrText>
            </w:r>
            <w:r>
              <w:fldChar w:fldCharType="separate"/>
            </w:r>
            <w:r>
              <w:rPr>
                <w:rFonts w:cs="Times New Roman" w:eastAsiaTheme="minorEastAsia"/>
                <w:color w:val="000000" w:themeColor="text1"/>
                <w:sz w:val="24"/>
                <w:szCs w:val="24"/>
                <w14:textFill>
                  <w14:solidFill>
                    <w14:schemeClr w14:val="tx1"/>
                  </w14:solidFill>
                </w14:textFill>
              </w:rPr>
              <w:t>砷</w:t>
            </w:r>
            <w:r>
              <w:rPr>
                <w:rFonts w:cs="Times New Roman" w:eastAsiaTheme="minorEastAsia"/>
                <w:color w:val="000000" w:themeColor="text1"/>
                <w:sz w:val="24"/>
                <w:szCs w:val="24"/>
                <w14:textFill>
                  <w14:solidFill>
                    <w14:schemeClr w14:val="tx1"/>
                  </w14:solidFill>
                </w14:textFill>
              </w:rPr>
              <w:fldChar w:fldCharType="end"/>
            </w:r>
            <w:r>
              <w:rPr>
                <w:rFonts w:cs="Times New Roman" w:eastAsiaTheme="minorEastAsia"/>
                <w:color w:val="000000" w:themeColor="text1"/>
                <w:sz w:val="24"/>
                <w:szCs w:val="24"/>
                <w14:textFill>
                  <w14:solidFill>
                    <w14:schemeClr w14:val="tx1"/>
                  </w14:solidFill>
                </w14:textFill>
              </w:rPr>
              <w:t>As≤0.7ug/L；六价铬Cr</w:t>
            </w:r>
            <w:r>
              <w:rPr>
                <w:rFonts w:cs="Times New Roman" w:eastAsiaTheme="minorEastAsia"/>
                <w:color w:val="000000" w:themeColor="text1"/>
                <w:sz w:val="24"/>
                <w:szCs w:val="24"/>
                <w:vertAlign w:val="superscript"/>
                <w14:textFill>
                  <w14:solidFill>
                    <w14:schemeClr w14:val="tx1"/>
                  </w14:solidFill>
                </w14:textFill>
              </w:rPr>
              <w:t>6+</w:t>
            </w:r>
            <w:r>
              <w:rPr>
                <w:rFonts w:cs="Times New Roman" w:eastAsiaTheme="minorEastAsia"/>
                <w:color w:val="000000" w:themeColor="text1"/>
                <w:sz w:val="24"/>
                <w:szCs w:val="24"/>
                <w14:textFill>
                  <w14:solidFill>
                    <w14:schemeClr w14:val="tx1"/>
                  </w14:solidFill>
                </w14:textFill>
              </w:rPr>
              <w:t>≤1.5ug/L</w:t>
            </w:r>
          </w:p>
        </w:tc>
        <w:tc>
          <w:tcPr>
            <w:tcW w:w="4161" w:type="dxa"/>
            <w:shd w:val="clear" w:color="auto" w:fill="auto"/>
            <w:vAlign w:val="center"/>
          </w:tcPr>
          <w:p w14:paraId="720F609F">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1.水嘴流量</w:t>
            </w:r>
            <w:r>
              <w:rPr>
                <w:rFonts w:cs="Times New Roman" w:eastAsiaTheme="minorEastAsia"/>
                <w:bCs/>
                <w:color w:val="000000" w:themeColor="text1"/>
                <w:sz w:val="24"/>
                <w:szCs w:val="24"/>
                <w:vertAlign w:val="superscript"/>
                <w14:textFill>
                  <w14:solidFill>
                    <w14:schemeClr w14:val="tx1"/>
                  </w14:solidFill>
                </w14:textFill>
              </w:rPr>
              <w:t>b</w:t>
            </w:r>
            <w:r>
              <w:rPr>
                <w:rFonts w:cs="Times New Roman" w:eastAsiaTheme="minorEastAsia"/>
                <w:bCs/>
                <w:color w:val="000000" w:themeColor="text1"/>
                <w:sz w:val="24"/>
                <w:szCs w:val="24"/>
                <w14:textFill>
                  <w14:solidFill>
                    <w14:schemeClr w14:val="tx1"/>
                  </w14:solidFill>
                </w14:textFill>
              </w:rPr>
              <w:t>（0.1+0.01）MPa动压下</w:t>
            </w:r>
          </w:p>
          <w:p w14:paraId="4B43FA0A">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洗面器水嘴、厨房水嘴、妇洗器水嘴≤6L/min；普通洗涤水嘴≤7.5L/min</w:t>
            </w:r>
          </w:p>
          <w:p w14:paraId="5B240A40">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2.水嘴寿命达到相应产品标准要求的1.3倍</w:t>
            </w:r>
          </w:p>
          <w:p w14:paraId="15E9E32D">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3.水嘴流量均匀性</w:t>
            </w:r>
            <w:r>
              <w:rPr>
                <w:rFonts w:cs="Times New Roman" w:eastAsiaTheme="minorEastAsia"/>
                <w:bCs/>
                <w:color w:val="000000" w:themeColor="text1"/>
                <w:sz w:val="24"/>
                <w:szCs w:val="24"/>
                <w:vertAlign w:val="superscript"/>
                <w14:textFill>
                  <w14:solidFill>
                    <w14:schemeClr w14:val="tx1"/>
                  </w14:solidFill>
                </w14:textFill>
              </w:rPr>
              <w:t>c</w:t>
            </w:r>
            <w:r>
              <w:rPr>
                <w:rFonts w:cs="Times New Roman" w:eastAsiaTheme="minorEastAsia"/>
                <w:bCs/>
                <w:color w:val="000000" w:themeColor="text1"/>
                <w:sz w:val="24"/>
                <w:szCs w:val="24"/>
                <w14:textFill>
                  <w14:solidFill>
                    <w14:schemeClr w14:val="tx1"/>
                  </w14:solidFill>
                </w14:textFill>
              </w:rPr>
              <w:t>：≤3L/min</w:t>
            </w:r>
          </w:p>
          <w:p w14:paraId="373F00BA">
            <w:pPr>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4.表面耐腐蚀性能：10级</w:t>
            </w:r>
          </w:p>
        </w:tc>
      </w:tr>
      <w:tr w14:paraId="2E06E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8143" w:type="dxa"/>
            <w:gridSpan w:val="2"/>
            <w:shd w:val="clear" w:color="auto" w:fill="auto"/>
            <w:vAlign w:val="center"/>
          </w:tcPr>
          <w:p w14:paraId="4C3684BB">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注：依据GB 18145、GB 25501、GB/T 50378、</w:t>
            </w:r>
            <w:r>
              <w:rPr>
                <w:rFonts w:cs="Times New Roman" w:eastAsiaTheme="minorEastAsia"/>
                <w:color w:val="000000" w:themeColor="text1"/>
                <w:sz w:val="24"/>
                <w:szCs w:val="24"/>
                <w14:textFill>
                  <w14:solidFill>
                    <w14:schemeClr w14:val="tx1"/>
                  </w14:solidFill>
                </w14:textFill>
              </w:rPr>
              <w:t>T/CECS 10050、CJ/T 194；</w:t>
            </w:r>
          </w:p>
          <w:p w14:paraId="125ACE94">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该项指标适用于洗面器水嘴和厨房水嘴；对于该项不适用的产品，此项不做要求；</w:t>
            </w:r>
          </w:p>
          <w:p w14:paraId="3BDE1D0C">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该项指标不适用于具有延时自闭功能的水嘴和其他水嘴；对于该项不适用的产品，此项不做要求；多档水嘴的流量星级按照GB 25501的要求确定；</w:t>
            </w:r>
          </w:p>
          <w:p w14:paraId="01EBF806">
            <w:pPr>
              <w:widowControl/>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    </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该项指标不适用于具有延时自闭功能的水嘴和其他水嘴；对于该项不适用的产品，此项不做要求；多档水嘴的流量星级按照GB 25501的要求确定。</w:t>
            </w:r>
          </w:p>
        </w:tc>
      </w:tr>
    </w:tbl>
    <w:p w14:paraId="2CF355D1">
      <w:pPr>
        <w:pStyle w:val="3"/>
        <w:numPr>
          <w:ilvl w:val="1"/>
          <w:numId w:val="0"/>
        </w:numPr>
        <w:spacing w:line="588" w:lineRule="exact"/>
        <w:ind w:left="142"/>
        <w:rPr>
          <w:rFonts w:cs="Times New Roman"/>
          <w:color w:val="000000" w:themeColor="text1"/>
          <w14:textFill>
            <w14:solidFill>
              <w14:schemeClr w14:val="tx1"/>
            </w14:solidFill>
          </w14:textFill>
        </w:rPr>
      </w:pPr>
      <w:bookmarkStart w:id="124" w:name="_Toc98250142"/>
      <w:bookmarkStart w:id="125" w:name="_Toc186533286"/>
      <w:bookmarkStart w:id="126" w:name="_Toc7846"/>
      <w:bookmarkStart w:id="127" w:name="_Toc32400"/>
      <w:r>
        <w:rPr>
          <w:rFonts w:cs="Times New Roman"/>
          <w:color w:val="000000" w:themeColor="text1"/>
          <w14:textFill>
            <w14:solidFill>
              <w14:schemeClr w14:val="tx1"/>
            </w14:solidFill>
          </w14:textFill>
        </w:rPr>
        <w:t>Ⅴ  其他</w:t>
      </w:r>
      <w:bookmarkEnd w:id="124"/>
      <w:bookmarkEnd w:id="125"/>
    </w:p>
    <w:p w14:paraId="11F698E1">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28" w:name="_Toc186533287"/>
      <w:r>
        <w:rPr>
          <w:rFonts w:ascii="Times New Roman" w:hAnsi="Times New Roman" w:cs="Times New Roman" w:eastAsiaTheme="minorEastAsia"/>
          <w:color w:val="000000" w:themeColor="text1"/>
          <w14:textFill>
            <w14:solidFill>
              <w14:schemeClr w14:val="tx1"/>
            </w14:solidFill>
          </w14:textFill>
        </w:rPr>
        <w:t>5.2.21  合成材料面层运动场地</w:t>
      </w:r>
      <w:bookmarkEnd w:id="128"/>
    </w:p>
    <w:p w14:paraId="7EC91ED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w:t>
      </w:r>
      <w:bookmarkStart w:id="129" w:name="OLE_LINK10"/>
      <w:bookmarkStart w:id="130" w:name="OLE_LINK9"/>
      <w:r>
        <w:rPr>
          <w:rFonts w:cs="Times New Roman" w:eastAsiaTheme="minorEastAsia"/>
          <w:color w:val="000000" w:themeColor="text1"/>
          <w14:textFill>
            <w14:solidFill>
              <w14:schemeClr w14:val="tx1"/>
            </w14:solidFill>
          </w14:textFill>
        </w:rPr>
        <w:t>合成材料面层运动场地</w:t>
      </w:r>
      <w:bookmarkEnd w:id="129"/>
      <w:bookmarkEnd w:id="130"/>
      <w:r>
        <w:rPr>
          <w:rFonts w:cs="Times New Roman" w:eastAsiaTheme="minorEastAsia"/>
          <w:color w:val="000000" w:themeColor="text1"/>
          <w14:textFill>
            <w14:solidFill>
              <w14:schemeClr w14:val="tx1"/>
            </w14:solidFill>
          </w14:textFill>
        </w:rPr>
        <w:t>。</w:t>
      </w:r>
    </w:p>
    <w:p w14:paraId="0BB23759">
      <w:pPr>
        <w:tabs>
          <w:tab w:val="left" w:pos="4770"/>
        </w:tabs>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材料性能要求见表89：</w:t>
      </w:r>
    </w:p>
    <w:p w14:paraId="240F65C6">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表89</w:t>
      </w:r>
    </w:p>
    <w:tbl>
      <w:tblPr>
        <w:tblStyle w:val="20"/>
        <w:tblW w:w="812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25"/>
      </w:tblGrid>
      <w:tr w14:paraId="1835FA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trPr>
        <w:tc>
          <w:tcPr>
            <w:tcW w:w="8222" w:type="dxa"/>
            <w:shd w:val="clear" w:color="auto" w:fill="auto"/>
            <w:vAlign w:val="center"/>
          </w:tcPr>
          <w:p w14:paraId="42842E4C">
            <w:pPr>
              <w:widowControl/>
              <w:spacing w:line="240" w:lineRule="auto"/>
              <w:ind w:firstLine="0" w:firstLineChars="0"/>
              <w:jc w:val="center"/>
              <w:rPr>
                <w:rFonts w:cs="Times New Roman" w:eastAsiaTheme="minorEastAsia"/>
                <w:b/>
                <w:bCs/>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r>
      <w:tr w14:paraId="4BF2E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8125" w:type="dxa"/>
            <w:shd w:val="clear" w:color="auto" w:fill="auto"/>
            <w:vAlign w:val="center"/>
          </w:tcPr>
          <w:p w14:paraId="4CCF4704">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1.总挥发性有机化合物（TVOC）≤5.0mg/(m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14:paraId="01230408">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2.甲醛≤0.4mg/(m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14:paraId="1D1DDC96">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3.苯≤0.1mg/(m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14:paraId="6ED25674">
            <w:pPr>
              <w:widowControl/>
              <w:spacing w:line="240" w:lineRule="auto"/>
              <w:ind w:firstLine="0" w:firstLineChars="0"/>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4.苯、二甲苯和乙苯总和≤1.0mg/(m</w:t>
            </w:r>
            <w:r>
              <w:rPr>
                <w:rFonts w:cs="Times New Roman" w:eastAsiaTheme="minorEastAsia"/>
                <w:bCs/>
                <w:color w:val="000000" w:themeColor="text1"/>
                <w:sz w:val="24"/>
                <w:szCs w:val="24"/>
                <w:vertAlign w:val="superscript"/>
                <w14:textFill>
                  <w14:solidFill>
                    <w14:schemeClr w14:val="tx1"/>
                  </w14:solidFill>
                </w14:textFill>
              </w:rPr>
              <w:t>2</w:t>
            </w:r>
            <w:r>
              <w:rPr>
                <w:rFonts w:cs="Times New Roman" w:eastAsiaTheme="minorEastAsia"/>
                <w:bCs/>
                <w:color w:val="000000" w:themeColor="text1"/>
                <w:sz w:val="24"/>
                <w:szCs w:val="24"/>
                <w14:textFill>
                  <w14:solidFill>
                    <w14:schemeClr w14:val="tx1"/>
                  </w14:solidFill>
                </w14:textFill>
              </w:rPr>
              <w:t>·h)</w:t>
            </w:r>
          </w:p>
          <w:p w14:paraId="182DC08B">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5.可溶性铅≤50mg/kg，可溶性镉≤10mg/kg，可溶性铬≤10mg/kg，可溶性汞≤2mg/kg</w:t>
            </w:r>
          </w:p>
        </w:tc>
      </w:tr>
      <w:tr w14:paraId="6F71E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8125" w:type="dxa"/>
            <w:shd w:val="clear" w:color="auto" w:fill="auto"/>
            <w:vAlign w:val="center"/>
          </w:tcPr>
          <w:p w14:paraId="00AADBB9">
            <w:pPr>
              <w:widowControl/>
              <w:spacing w:line="240" w:lineRule="auto"/>
              <w:ind w:firstLine="0" w:firstLineChars="0"/>
              <w:jc w:val="left"/>
              <w:rPr>
                <w:rFonts w:cs="Times New Roman" w:eastAsiaTheme="minorEastAsia"/>
                <w:bCs/>
                <w:color w:val="000000" w:themeColor="text1"/>
                <w:sz w:val="24"/>
                <w:szCs w:val="24"/>
                <w14:textFill>
                  <w14:solidFill>
                    <w14:schemeClr w14:val="tx1"/>
                  </w14:solidFill>
                </w14:textFill>
              </w:rPr>
            </w:pPr>
            <w:r>
              <w:rPr>
                <w:rFonts w:cs="Times New Roman" w:eastAsiaTheme="minorEastAsia"/>
                <w:bCs/>
                <w:color w:val="000000" w:themeColor="text1"/>
                <w:sz w:val="24"/>
                <w:szCs w:val="24"/>
                <w14:textFill>
                  <w14:solidFill>
                    <w14:schemeClr w14:val="tx1"/>
                  </w14:solidFill>
                </w14:textFill>
              </w:rPr>
              <w:t>注：依据</w:t>
            </w:r>
            <w:bookmarkStart w:id="131" w:name="OLE_LINK12"/>
            <w:bookmarkStart w:id="132" w:name="OLE_LINK11"/>
            <w:r>
              <w:rPr>
                <w:rFonts w:cs="Times New Roman" w:eastAsiaTheme="minorEastAsia"/>
                <w:bCs/>
                <w:color w:val="000000" w:themeColor="text1"/>
                <w:sz w:val="24"/>
                <w:szCs w:val="24"/>
                <w14:textFill>
                  <w14:solidFill>
                    <w14:schemeClr w14:val="tx1"/>
                  </w14:solidFill>
                </w14:textFill>
              </w:rPr>
              <w:t>GB 36246</w:t>
            </w:r>
            <w:bookmarkEnd w:id="131"/>
            <w:bookmarkEnd w:id="132"/>
            <w:r>
              <w:rPr>
                <w:rFonts w:cs="Times New Roman" w:eastAsiaTheme="minorEastAsia"/>
                <w:bCs/>
                <w:color w:val="000000" w:themeColor="text1"/>
                <w:sz w:val="24"/>
                <w:szCs w:val="24"/>
                <w14:textFill>
                  <w14:solidFill>
                    <w14:schemeClr w14:val="tx1"/>
                  </w14:solidFill>
                </w14:textFill>
              </w:rPr>
              <w:t>。</w:t>
            </w:r>
          </w:p>
        </w:tc>
      </w:tr>
    </w:tbl>
    <w:p w14:paraId="75C7FC16">
      <w:pPr>
        <w:pStyle w:val="2"/>
        <w:spacing w:before="156" w:after="156" w:line="588" w:lineRule="exact"/>
        <w:rPr>
          <w:rFonts w:cs="Times New Roman" w:eastAsiaTheme="minorEastAsia"/>
          <w:color w:val="000000" w:themeColor="text1"/>
          <w:sz w:val="30"/>
          <w:szCs w:val="30"/>
          <w14:textFill>
            <w14:solidFill>
              <w14:schemeClr w14:val="tx1"/>
            </w14:solidFill>
          </w14:textFill>
        </w:rPr>
      </w:pPr>
      <w:bookmarkStart w:id="133" w:name="_Toc186533288"/>
      <w:bookmarkStart w:id="134" w:name="_Toc98250143"/>
      <w:r>
        <w:rPr>
          <w:rFonts w:cs="Times New Roman" w:eastAsiaTheme="minorEastAsia"/>
          <w:color w:val="000000" w:themeColor="text1"/>
          <w:sz w:val="30"/>
          <w:szCs w:val="30"/>
          <w14:textFill>
            <w14:solidFill>
              <w14:schemeClr w14:val="tx1"/>
            </w14:solidFill>
          </w14:textFill>
        </w:rPr>
        <w:t>5.3  设备设施</w:t>
      </w:r>
      <w:bookmarkEnd w:id="126"/>
      <w:bookmarkEnd w:id="127"/>
      <w:bookmarkEnd w:id="133"/>
      <w:bookmarkEnd w:id="134"/>
    </w:p>
    <w:p w14:paraId="4E30A4E7">
      <w:pPr>
        <w:pStyle w:val="3"/>
        <w:numPr>
          <w:ilvl w:val="1"/>
          <w:numId w:val="0"/>
        </w:numPr>
        <w:spacing w:line="588" w:lineRule="exact"/>
        <w:ind w:left="142"/>
        <w:rPr>
          <w:rFonts w:cs="Times New Roman"/>
          <w:color w:val="000000" w:themeColor="text1"/>
          <w14:textFill>
            <w14:solidFill>
              <w14:schemeClr w14:val="tx1"/>
            </w14:solidFill>
          </w14:textFill>
        </w:rPr>
      </w:pPr>
      <w:bookmarkStart w:id="135" w:name="_Toc98250144"/>
      <w:bookmarkStart w:id="136" w:name="_Toc27727"/>
      <w:bookmarkStart w:id="137" w:name="_Toc186533289"/>
      <w:bookmarkStart w:id="138" w:name="_Toc15820"/>
      <w:r>
        <w:rPr>
          <w:rFonts w:cs="Times New Roman"/>
          <w:color w:val="000000" w:themeColor="text1"/>
          <w14:textFill>
            <w14:solidFill>
              <w14:schemeClr w14:val="tx1"/>
            </w14:solidFill>
          </w14:textFill>
        </w:rPr>
        <w:t>Ⅰ  给水排水</w:t>
      </w:r>
      <w:bookmarkEnd w:id="135"/>
      <w:bookmarkEnd w:id="136"/>
      <w:bookmarkEnd w:id="137"/>
      <w:bookmarkEnd w:id="138"/>
    </w:p>
    <w:p w14:paraId="03BAC5E5">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39" w:name="_Toc186533290"/>
      <w:r>
        <w:rPr>
          <w:rFonts w:ascii="Times New Roman" w:hAnsi="Times New Roman" w:cs="Times New Roman" w:eastAsiaTheme="minorEastAsia"/>
          <w:color w:val="000000" w:themeColor="text1"/>
          <w14:textFill>
            <w14:solidFill>
              <w14:schemeClr w14:val="tx1"/>
            </w14:solidFill>
          </w14:textFill>
        </w:rPr>
        <w:t>5.3.1  管材管件</w:t>
      </w:r>
      <w:bookmarkEnd w:id="139"/>
    </w:p>
    <w:p w14:paraId="42FF5226">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（1）主要材料（系统）：塑料管材管件（聚烯烃类、聚氯乙烯（PVC）类塑料管材、管件）。</w:t>
      </w:r>
    </w:p>
    <w:p w14:paraId="6ABE95A7">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材料性能要求见表90：</w:t>
      </w:r>
    </w:p>
    <w:p w14:paraId="20064DF7">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表90</w:t>
      </w:r>
    </w:p>
    <w:tbl>
      <w:tblPr>
        <w:tblStyle w:val="20"/>
        <w:tblW w:w="8125" w:type="dxa"/>
        <w:tblInd w:w="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6"/>
        <w:gridCol w:w="4059"/>
      </w:tblGrid>
      <w:tr w14:paraId="77F67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53C19D3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04" w:type="dxa"/>
            <w:shd w:val="clear" w:color="auto" w:fill="auto"/>
            <w:vAlign w:val="center"/>
          </w:tcPr>
          <w:p w14:paraId="576BE98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C2A3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21" w:type="dxa"/>
            <w:shd w:val="clear" w:color="auto" w:fill="auto"/>
            <w:vAlign w:val="center"/>
          </w:tcPr>
          <w:p w14:paraId="7B181D4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铅限量</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≤100mg/kg</w:t>
            </w:r>
          </w:p>
        </w:tc>
        <w:tc>
          <w:tcPr>
            <w:tcW w:w="4104" w:type="dxa"/>
            <w:shd w:val="clear" w:color="auto" w:fill="auto"/>
            <w:vAlign w:val="center"/>
          </w:tcPr>
          <w:p w14:paraId="6F9148F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1.灰分</w:t>
            </w: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≤3%</w:t>
            </w:r>
          </w:p>
          <w:p w14:paraId="64EB775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2.卫生性能</w:t>
            </w: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：符合GB/T 17219的规定</w:t>
            </w:r>
          </w:p>
          <w:p w14:paraId="677364F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3.密度</w:t>
            </w: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＜1450 kg/m</w:t>
            </w:r>
            <w:r>
              <w:rPr>
                <w:rFonts w:cs="Times New Roman" w:eastAsiaTheme="minorEastAsia"/>
                <w:color w:val="000000" w:themeColor="text1"/>
                <w:sz w:val="24"/>
                <w:szCs w:val="24"/>
                <w:vertAlign w:val="superscript"/>
                <w14:textFill>
                  <w14:solidFill>
                    <w14:schemeClr w14:val="tx1"/>
                  </w14:solidFill>
                </w14:textFill>
              </w:rPr>
              <w:t>3</w:t>
            </w:r>
          </w:p>
        </w:tc>
      </w:tr>
      <w:tr w14:paraId="50F6B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25" w:type="dxa"/>
            <w:gridSpan w:val="2"/>
            <w:shd w:val="clear" w:color="auto" w:fill="auto"/>
            <w:vAlign w:val="center"/>
          </w:tcPr>
          <w:p w14:paraId="50CC54A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26125、T/CECS 10058；</w:t>
            </w:r>
          </w:p>
          <w:p w14:paraId="431BAE48">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a</w:t>
            </w:r>
            <w:r>
              <w:rPr>
                <w:rFonts w:cs="Times New Roman" w:eastAsiaTheme="minorEastAsia"/>
                <w:color w:val="000000" w:themeColor="text1"/>
                <w:sz w:val="24"/>
                <w:szCs w:val="24"/>
                <w14:textFill>
                  <w14:solidFill>
                    <w14:schemeClr w14:val="tx1"/>
                  </w14:solidFill>
                </w14:textFill>
              </w:rPr>
              <w:t>仅适用于聚氯乙烯（PVC）类塑料管材管件；</w:t>
            </w:r>
          </w:p>
          <w:p w14:paraId="7F4F00D2">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b</w:t>
            </w:r>
            <w:r>
              <w:rPr>
                <w:rFonts w:cs="Times New Roman" w:eastAsiaTheme="minorEastAsia"/>
                <w:color w:val="000000" w:themeColor="text1"/>
                <w:sz w:val="24"/>
                <w:szCs w:val="24"/>
                <w14:textFill>
                  <w14:solidFill>
                    <w14:schemeClr w14:val="tx1"/>
                  </w14:solidFill>
                </w14:textFill>
              </w:rPr>
              <w:t>仅适用于排水、排污类聚烯烃塑料管材、管件；</w:t>
            </w:r>
          </w:p>
          <w:p w14:paraId="014CDEF5">
            <w:pPr>
              <w:spacing w:line="240" w:lineRule="auto"/>
              <w:ind w:firstLine="48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vertAlign w:val="superscript"/>
                <w14:textFill>
                  <w14:solidFill>
                    <w14:schemeClr w14:val="tx1"/>
                  </w14:solidFill>
                </w14:textFill>
              </w:rPr>
              <w:t>c</w:t>
            </w:r>
            <w:r>
              <w:rPr>
                <w:rFonts w:cs="Times New Roman" w:eastAsiaTheme="minorEastAsia"/>
                <w:color w:val="000000" w:themeColor="text1"/>
                <w:sz w:val="24"/>
                <w:szCs w:val="24"/>
                <w14:textFill>
                  <w14:solidFill>
                    <w14:schemeClr w14:val="tx1"/>
                  </w14:solidFill>
                </w14:textFill>
              </w:rPr>
              <w:t>仅适用于给水管材、管件。</w:t>
            </w:r>
          </w:p>
        </w:tc>
      </w:tr>
    </w:tbl>
    <w:p w14:paraId="1AACFE9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（2）主要材料（系统）：不锈钢管及管件。</w:t>
      </w:r>
    </w:p>
    <w:p w14:paraId="34CE1ED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材料性能要求见表91：</w:t>
      </w:r>
    </w:p>
    <w:p w14:paraId="4BFBCFFC">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表91</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11"/>
        <w:gridCol w:w="4111"/>
      </w:tblGrid>
      <w:tr w14:paraId="52E9F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341C9913">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48C0A58E">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4D5C4F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 w:hRule="atLeast"/>
        </w:trPr>
        <w:tc>
          <w:tcPr>
            <w:tcW w:w="3984" w:type="dxa"/>
            <w:vAlign w:val="center"/>
          </w:tcPr>
          <w:p w14:paraId="1A5BA75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酸洗工序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：酸洗工序应符合国家及地方环境保护相关法律法规的要求</w:t>
            </w:r>
          </w:p>
        </w:tc>
        <w:tc>
          <w:tcPr>
            <w:tcW w:w="4029" w:type="dxa"/>
            <w:vAlign w:val="center"/>
          </w:tcPr>
          <w:p w14:paraId="15050D9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1.尺寸偏差：</w:t>
            </w:r>
          </w:p>
          <w:p w14:paraId="0C3E90C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外径：±0.75%</w:t>
            </w:r>
          </w:p>
          <w:p w14:paraId="78309EB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壁厚：±10% </w:t>
            </w:r>
          </w:p>
          <w:p w14:paraId="3D6D977F">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p w14:paraId="6B971A6E">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3.管配件系统适用性：应符合CJ/T 117等适用标准中连接性能的规定</w:t>
            </w:r>
          </w:p>
        </w:tc>
      </w:tr>
      <w:tr w14:paraId="5F059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13" w:type="dxa"/>
            <w:gridSpan w:val="2"/>
          </w:tcPr>
          <w:p w14:paraId="3A49AAC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14:paraId="5211DD0B">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14:paraId="2A2776B8">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（3）主要材料（系统）：铜管及管件。</w:t>
      </w:r>
    </w:p>
    <w:p w14:paraId="2D8EABE4">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材料性能要求见表92：</w:t>
      </w:r>
    </w:p>
    <w:p w14:paraId="23EB24C9">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表92</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14:paraId="07FF5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0E5A2DE5">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2829DF98">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2F593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 w:hRule="atLeast"/>
        </w:trPr>
        <w:tc>
          <w:tcPr>
            <w:tcW w:w="4029" w:type="dxa"/>
            <w:vAlign w:val="center"/>
          </w:tcPr>
          <w:p w14:paraId="6268D40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管配件连接处铜析出量：≤0.1mg/L</w:t>
            </w:r>
          </w:p>
        </w:tc>
        <w:tc>
          <w:tcPr>
            <w:tcW w:w="4071" w:type="dxa"/>
            <w:vAlign w:val="center"/>
          </w:tcPr>
          <w:p w14:paraId="320CFB7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p w14:paraId="5F35A907">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2.管配件系统适用性：应符合CJ/T 117等适用标准中连接性能的规定</w:t>
            </w:r>
          </w:p>
        </w:tc>
      </w:tr>
      <w:tr w14:paraId="532D00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tcPr>
          <w:p w14:paraId="264F4FC4">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14:paraId="557309A0">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14:paraId="3875C60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（4）主要材料（系统）：铸铁管及管件。</w:t>
      </w:r>
    </w:p>
    <w:p w14:paraId="0B21F4AC">
      <w:pPr>
        <w:spacing w:line="588" w:lineRule="exact"/>
        <w:ind w:firstLine="560"/>
        <w:rPr>
          <w:rFonts w:cs="Times New Roman"/>
        </w:rPr>
      </w:pPr>
      <w:r>
        <w:rPr>
          <w:rFonts w:cs="Times New Roman" w:eastAsiaTheme="minorEastAsia"/>
          <w:color w:val="000000" w:themeColor="text1"/>
          <w14:textFill>
            <w14:solidFill>
              <w14:schemeClr w14:val="tx1"/>
            </w14:solidFill>
          </w14:textFill>
        </w:rPr>
        <w:t>材料性能要求见表93：</w:t>
      </w:r>
    </w:p>
    <w:p w14:paraId="2B272918">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表93</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14:paraId="403C4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177DBB8D">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4A0635A7">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22187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 w:hRule="atLeast"/>
        </w:trPr>
        <w:tc>
          <w:tcPr>
            <w:tcW w:w="4029" w:type="dxa"/>
            <w:vAlign w:val="center"/>
          </w:tcPr>
          <w:p w14:paraId="72D058F1">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内外涂覆材料</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：环氧树脂涂料或耐腐蚀性能与其相当的材料</w:t>
            </w:r>
          </w:p>
        </w:tc>
        <w:tc>
          <w:tcPr>
            <w:tcW w:w="4071" w:type="dxa"/>
            <w:vAlign w:val="center"/>
          </w:tcPr>
          <w:p w14:paraId="3C70B7B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1.基管壁厚：符合适用产品标准中关于壁厚的要求 </w:t>
            </w:r>
          </w:p>
          <w:p w14:paraId="7A7EA7C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2.抗震性能</w:t>
            </w: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：符合相应产品标准的要求</w:t>
            </w:r>
          </w:p>
        </w:tc>
      </w:tr>
      <w:tr w14:paraId="36EE50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tcPr>
          <w:p w14:paraId="5561FD12">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14:paraId="636C6527">
            <w:pPr>
              <w:spacing w:line="240" w:lineRule="auto"/>
              <w:ind w:firstLine="480"/>
              <w:rPr>
                <w:rFonts w:ascii="Times New Roman" w:cs="Times New Roman" w:eastAsiaTheme="minorEastAsia"/>
                <w:color w:val="000000" w:themeColor="text1"/>
                <w:sz w:val="24"/>
                <w:szCs w:val="24"/>
                <w:vertAlign w:val="superscript"/>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p w14:paraId="63C39E1D">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vertAlign w:val="superscript"/>
                <w14:textFill>
                  <w14:solidFill>
                    <w14:schemeClr w14:val="tx1"/>
                  </w14:solidFill>
                </w14:textFill>
              </w:rPr>
              <w:t>b</w:t>
            </w:r>
            <w:r>
              <w:rPr>
                <w:rFonts w:ascii="Times New Roman" w:cs="Times New Roman" w:eastAsiaTheme="minorEastAsia"/>
                <w:color w:val="000000" w:themeColor="text1"/>
                <w:sz w:val="24"/>
                <w:szCs w:val="24"/>
                <w14:textFill>
                  <w14:solidFill>
                    <w14:schemeClr w14:val="tx1"/>
                  </w14:solidFill>
                </w14:textFill>
              </w:rPr>
              <w:t>仅适用于排水管材管件。</w:t>
            </w:r>
          </w:p>
        </w:tc>
      </w:tr>
    </w:tbl>
    <w:p w14:paraId="70D9E0D1">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（5）主要材料（系统）：压接式涂覆碳钢管及管件。</w:t>
      </w:r>
    </w:p>
    <w:p w14:paraId="04023ED2">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材料性能要求见表94：</w:t>
      </w:r>
    </w:p>
    <w:p w14:paraId="4A35BA65">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表94</w:t>
      </w:r>
    </w:p>
    <w:tbl>
      <w:tblPr>
        <w:tblStyle w:val="21"/>
        <w:tblW w:w="0" w:type="auto"/>
        <w:tblInd w:w="12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14:paraId="77FAC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vAlign w:val="center"/>
          </w:tcPr>
          <w:p w14:paraId="2291C642">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vAlign w:val="center"/>
          </w:tcPr>
          <w:p w14:paraId="517E256B">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6258A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6" w:hRule="atLeast"/>
        </w:trPr>
        <w:tc>
          <w:tcPr>
            <w:tcW w:w="4057" w:type="dxa"/>
            <w:vAlign w:val="center"/>
          </w:tcPr>
          <w:p w14:paraId="0101E6D7">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钢管、管件</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：禁止使用冷镀锌钢管</w:t>
            </w:r>
          </w:p>
        </w:tc>
        <w:tc>
          <w:tcPr>
            <w:tcW w:w="4057" w:type="dxa"/>
            <w:vAlign w:val="center"/>
          </w:tcPr>
          <w:p w14:paraId="5AD142A4">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tc>
      </w:tr>
      <w:tr w14:paraId="5F64AB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14" w:type="dxa"/>
            <w:gridSpan w:val="2"/>
            <w:vAlign w:val="center"/>
          </w:tcPr>
          <w:p w14:paraId="7CE6662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10251；</w:t>
            </w:r>
          </w:p>
          <w:p w14:paraId="1680FCC3">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    </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14:paraId="3FA86F94">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40" w:name="_Toc186533291"/>
      <w:bookmarkStart w:id="141" w:name="_Toc98250146"/>
      <w:r>
        <w:rPr>
          <w:rFonts w:ascii="Times New Roman" w:hAnsi="Times New Roman" w:cs="Times New Roman" w:eastAsiaTheme="minorEastAsia"/>
          <w:color w:val="000000" w:themeColor="text1"/>
          <w14:textFill>
            <w14:solidFill>
              <w14:schemeClr w14:val="tx1"/>
            </w14:solidFill>
          </w14:textFill>
        </w:rPr>
        <w:t>5.3.2  阀门</w:t>
      </w:r>
      <w:bookmarkEnd w:id="140"/>
    </w:p>
    <w:p w14:paraId="55D3A8B4">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主要材料（系统）：建筑用阀门。</w:t>
      </w:r>
    </w:p>
    <w:p w14:paraId="51D4CCB0">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材料性能要求见表95：</w:t>
      </w:r>
    </w:p>
    <w:p w14:paraId="4F91A8CA">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14:paraId="7424678E">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14:paraId="3508D4DD">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表95</w:t>
      </w:r>
    </w:p>
    <w:tbl>
      <w:tblPr>
        <w:tblStyle w:val="21"/>
        <w:tblW w:w="0" w:type="auto"/>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00"/>
      </w:tblGrid>
      <w:tr w14:paraId="230D5F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5E37ACA7">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00" w:type="dxa"/>
          </w:tcPr>
          <w:p w14:paraId="0859EBF7">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43BEE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78" w:hRule="atLeast"/>
        </w:trPr>
        <w:tc>
          <w:tcPr>
            <w:tcW w:w="4029" w:type="dxa"/>
            <w:vAlign w:val="center"/>
          </w:tcPr>
          <w:p w14:paraId="6DAC6045">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主体材质：球墨铸铁-球化率≥80%；碳素钢-碳当量≤0.55CE；铜合金-含铅量≤1.9%；不锈钢-含镍量≥5%</w:t>
            </w:r>
          </w:p>
        </w:tc>
        <w:tc>
          <w:tcPr>
            <w:tcW w:w="4100" w:type="dxa"/>
            <w:vAlign w:val="center"/>
          </w:tcPr>
          <w:p w14:paraId="7DA4F33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1.产品循环寿命试验次数：≥标准15% </w:t>
            </w:r>
          </w:p>
          <w:p w14:paraId="0923F4C6">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2.防腐处理设施：</w:t>
            </w:r>
          </w:p>
          <w:p w14:paraId="140A3EC6">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涂装工艺：静电粉末防腐</w:t>
            </w:r>
          </w:p>
          <w:p w14:paraId="783CF21C">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漆膜厚度：≥200μm</w:t>
            </w:r>
          </w:p>
          <w:p w14:paraId="3D80AE7A">
            <w:pPr>
              <w:spacing w:line="240" w:lineRule="auto"/>
              <w:ind w:firstLine="48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附着力：8MPa</w:t>
            </w:r>
          </w:p>
          <w:p w14:paraId="4D4D706B">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3.管配件连接方式</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：装配式连接</w:t>
            </w:r>
          </w:p>
        </w:tc>
      </w:tr>
      <w:tr w14:paraId="387C2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29" w:type="dxa"/>
            <w:gridSpan w:val="2"/>
          </w:tcPr>
          <w:p w14:paraId="012A221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10057；</w:t>
            </w:r>
          </w:p>
          <w:p w14:paraId="6E4DEF15">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 xml:space="preserve">    </w:t>
            </w:r>
            <w:r>
              <w:rPr>
                <w:rFonts w:ascii="Times New Roman" w:cs="Times New Roman" w:eastAsiaTheme="minorEastAsia"/>
                <w:color w:val="000000" w:themeColor="text1"/>
                <w:sz w:val="24"/>
                <w:szCs w:val="24"/>
                <w:vertAlign w:val="superscript"/>
                <w14:textFill>
                  <w14:solidFill>
                    <w14:schemeClr w14:val="tx1"/>
                  </w14:solidFill>
                </w14:textFill>
              </w:rPr>
              <w:t>a</w:t>
            </w:r>
            <w:r>
              <w:rPr>
                <w:rFonts w:ascii="Times New Roman" w:cs="Times New Roman" w:eastAsiaTheme="minorEastAsia"/>
                <w:color w:val="000000" w:themeColor="text1"/>
                <w:sz w:val="24"/>
                <w:szCs w:val="24"/>
                <w14:textFill>
                  <w14:solidFill>
                    <w14:schemeClr w14:val="tx1"/>
                  </w14:solidFill>
                </w14:textFill>
              </w:rPr>
              <w:t>以自我声明的方式提供证实性资料。</w:t>
            </w:r>
          </w:p>
        </w:tc>
      </w:tr>
    </w:tbl>
    <w:p w14:paraId="19CB98EA">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42" w:name="_Toc186533292"/>
      <w:r>
        <w:rPr>
          <w:rFonts w:ascii="Times New Roman" w:hAnsi="Times New Roman" w:cs="Times New Roman" w:eastAsiaTheme="minorEastAsia"/>
          <w:color w:val="000000" w:themeColor="text1"/>
          <w14:textFill>
            <w14:solidFill>
              <w14:schemeClr w14:val="tx1"/>
            </w14:solidFill>
          </w14:textFill>
        </w:rPr>
        <w:t>5.3.3  中水处理设备</w:t>
      </w:r>
      <w:bookmarkEnd w:id="141"/>
      <w:bookmarkEnd w:id="142"/>
    </w:p>
    <w:p w14:paraId="31CD9B6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主要材料（系统）：中水处理设备。</w:t>
      </w:r>
    </w:p>
    <w:p w14:paraId="157C5617">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材料性能要求见表96：</w:t>
      </w:r>
    </w:p>
    <w:p w14:paraId="75FA7D93">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表96</w:t>
      </w:r>
    </w:p>
    <w:tbl>
      <w:tblPr>
        <w:tblStyle w:val="20"/>
        <w:tblW w:w="8129"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3"/>
        <w:gridCol w:w="4066"/>
      </w:tblGrid>
      <w:tr w14:paraId="2F7FA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111" w:type="dxa"/>
            <w:shd w:val="clear" w:color="auto" w:fill="auto"/>
            <w:vAlign w:val="center"/>
          </w:tcPr>
          <w:p w14:paraId="284F563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5" w:type="dxa"/>
            <w:shd w:val="clear" w:color="auto" w:fill="auto"/>
            <w:vAlign w:val="center"/>
          </w:tcPr>
          <w:p w14:paraId="370CE90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C644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014" w:type="dxa"/>
            <w:shd w:val="clear" w:color="auto" w:fill="auto"/>
            <w:vAlign w:val="center"/>
          </w:tcPr>
          <w:p w14:paraId="03F479E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设备电机能效等级达到二级及以上</w:t>
            </w:r>
          </w:p>
        </w:tc>
        <w:tc>
          <w:tcPr>
            <w:tcW w:w="4115" w:type="dxa"/>
            <w:shd w:val="clear" w:color="auto" w:fill="auto"/>
            <w:vAlign w:val="center"/>
          </w:tcPr>
          <w:p w14:paraId="00AFD2F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1.噪声级≤75dB</w:t>
            </w:r>
          </w:p>
          <w:p w14:paraId="28B84F9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2.产水水质应达到城市污水再生利用系列标准相应分类水质标准的要求</w:t>
            </w:r>
          </w:p>
        </w:tc>
      </w:tr>
      <w:tr w14:paraId="78A8A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8129" w:type="dxa"/>
            <w:gridSpan w:val="2"/>
            <w:shd w:val="clear" w:color="auto" w:fill="auto"/>
            <w:vAlign w:val="center"/>
          </w:tcPr>
          <w:p w14:paraId="15A45D4E">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10071。</w:t>
            </w:r>
          </w:p>
        </w:tc>
      </w:tr>
    </w:tbl>
    <w:p w14:paraId="1305DECA">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43" w:name="_Toc98131826"/>
      <w:bookmarkStart w:id="144" w:name="_Toc98132068"/>
      <w:bookmarkStart w:id="145" w:name="_Toc98131950"/>
      <w:bookmarkStart w:id="146" w:name="_Toc98250147"/>
      <w:bookmarkStart w:id="147" w:name="_Toc186533293"/>
      <w:bookmarkStart w:id="148" w:name="_Toc31860"/>
      <w:bookmarkStart w:id="149" w:name="_Toc48576163"/>
      <w:bookmarkStart w:id="150" w:name="_Toc26694"/>
      <w:r>
        <w:rPr>
          <w:rFonts w:ascii="Times New Roman" w:hAnsi="Times New Roman" w:cs="Times New Roman" w:eastAsiaTheme="minorEastAsia"/>
          <w:color w:val="000000" w:themeColor="text1"/>
          <w14:textFill>
            <w14:solidFill>
              <w14:schemeClr w14:val="tx1"/>
            </w14:solidFill>
          </w14:textFill>
        </w:rPr>
        <w:t>5.3.4  净水设备</w:t>
      </w:r>
      <w:bookmarkEnd w:id="143"/>
      <w:bookmarkEnd w:id="144"/>
      <w:bookmarkEnd w:id="145"/>
      <w:bookmarkEnd w:id="146"/>
      <w:bookmarkEnd w:id="147"/>
    </w:p>
    <w:p w14:paraId="7EA04DA4">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主要材料（系统）：净水设备。</w:t>
      </w:r>
    </w:p>
    <w:p w14:paraId="13E3CB6A">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材料性能要求见表97：</w:t>
      </w:r>
    </w:p>
    <w:p w14:paraId="3A63D4DD">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表97</w:t>
      </w:r>
    </w:p>
    <w:tbl>
      <w:tblPr>
        <w:tblStyle w:val="21"/>
        <w:tblW w:w="0" w:type="auto"/>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14:paraId="5A8BD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4D67F733">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绿色要求</w:t>
            </w:r>
          </w:p>
        </w:tc>
        <w:tc>
          <w:tcPr>
            <w:tcW w:w="4111" w:type="dxa"/>
          </w:tcPr>
          <w:p w14:paraId="7605A63F">
            <w:pPr>
              <w:spacing w:line="240" w:lineRule="auto"/>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品质属性要求</w:t>
            </w:r>
          </w:p>
        </w:tc>
      </w:tr>
      <w:tr w14:paraId="434A4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2" w:hRule="atLeast"/>
        </w:trPr>
        <w:tc>
          <w:tcPr>
            <w:tcW w:w="4000" w:type="dxa"/>
            <w:vAlign w:val="center"/>
          </w:tcPr>
          <w:p w14:paraId="550D848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w:t>
            </w:r>
            <w:r>
              <w:rPr>
                <w:rFonts w:ascii="Times New Roman" w:cs="Times New Roman" w:eastAsiaTheme="minorEastAsia"/>
                <w:bCs/>
                <w:color w:val="000000" w:themeColor="text1"/>
                <w:sz w:val="24"/>
                <w:szCs w:val="24"/>
                <w14:textFill>
                  <w14:solidFill>
                    <w14:schemeClr w14:val="tx1"/>
                  </w14:solidFill>
                </w14:textFill>
              </w:rPr>
              <w:t>设备电机能效等级达到二级及以上</w:t>
            </w:r>
          </w:p>
          <w:p w14:paraId="558303DA">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2.噪声级≤60dB</w:t>
            </w:r>
          </w:p>
        </w:tc>
        <w:tc>
          <w:tcPr>
            <w:tcW w:w="4072" w:type="dxa"/>
            <w:vAlign w:val="center"/>
          </w:tcPr>
          <w:p w14:paraId="27ADDC7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1.管道直饮水系统处理设备监测：净水量、出水水质监测，水质监测指标包括但不限于：电导率、pH、消毒剂余量等</w:t>
            </w:r>
          </w:p>
          <w:p w14:paraId="7F558CE7">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2.公用终端直饮水设备监测：净水量监测</w:t>
            </w:r>
          </w:p>
        </w:tc>
      </w:tr>
      <w:tr w14:paraId="723E53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72" w:type="dxa"/>
            <w:gridSpan w:val="2"/>
          </w:tcPr>
          <w:p w14:paraId="1E0012F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10068。</w:t>
            </w:r>
          </w:p>
        </w:tc>
      </w:tr>
    </w:tbl>
    <w:p w14:paraId="218E3573">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51" w:name="_Toc186533294"/>
      <w:bookmarkStart w:id="152" w:name="_Toc98132069"/>
      <w:bookmarkStart w:id="153" w:name="_Toc98131827"/>
      <w:bookmarkStart w:id="154" w:name="_Toc98131951"/>
      <w:bookmarkStart w:id="155" w:name="_Toc98250148"/>
      <w:r>
        <w:rPr>
          <w:rFonts w:ascii="Times New Roman" w:hAnsi="Times New Roman" w:cs="Times New Roman" w:eastAsiaTheme="minorEastAsia"/>
          <w:color w:val="000000" w:themeColor="text1"/>
          <w14:textFill>
            <w14:solidFill>
              <w14:schemeClr w14:val="tx1"/>
            </w14:solidFill>
          </w14:textFill>
        </w:rPr>
        <w:t>5.3.5  软化设备</w:t>
      </w:r>
      <w:bookmarkEnd w:id="151"/>
      <w:bookmarkEnd w:id="152"/>
      <w:bookmarkEnd w:id="153"/>
      <w:bookmarkEnd w:id="154"/>
      <w:bookmarkEnd w:id="155"/>
    </w:p>
    <w:p w14:paraId="0C01AA4E">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主要材料（系统）：软化设备。</w:t>
      </w:r>
    </w:p>
    <w:p w14:paraId="7B5F17A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材料性能要求见表98：</w:t>
      </w:r>
    </w:p>
    <w:p w14:paraId="7EBECD29">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表98</w:t>
      </w:r>
    </w:p>
    <w:tbl>
      <w:tblPr>
        <w:tblStyle w:val="21"/>
        <w:tblW w:w="0" w:type="auto"/>
        <w:tblInd w:w="1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111"/>
        <w:gridCol w:w="4111"/>
      </w:tblGrid>
      <w:tr w14:paraId="283354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11" w:type="dxa"/>
          </w:tcPr>
          <w:p w14:paraId="7C4BF41B">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绿色要求</w:t>
            </w:r>
          </w:p>
        </w:tc>
        <w:tc>
          <w:tcPr>
            <w:tcW w:w="4111" w:type="dxa"/>
          </w:tcPr>
          <w:p w14:paraId="4F1F1A40">
            <w:pPr>
              <w:spacing w:line="240" w:lineRule="auto"/>
              <w:ind w:firstLine="0" w:firstLineChars="0"/>
              <w:jc w:val="center"/>
              <w:rPr>
                <w:rFonts w:ascii="Times New Roman" w:cs="Times New Roman" w:eastAsiaTheme="minorEastAsia"/>
                <w:bCs/>
                <w:color w:val="000000" w:themeColor="text1"/>
                <w:sz w:val="24"/>
                <w:szCs w:val="24"/>
                <w14:textFill>
                  <w14:solidFill>
                    <w14:schemeClr w14:val="tx1"/>
                  </w14:solidFill>
                </w14:textFill>
              </w:rPr>
            </w:pPr>
            <w:r>
              <w:rPr>
                <w:rFonts w:ascii="Times New Roman" w:cs="Times New Roman" w:eastAsiaTheme="minorEastAsia"/>
                <w:bCs/>
                <w:color w:val="000000" w:themeColor="text1"/>
                <w:sz w:val="24"/>
                <w:szCs w:val="24"/>
                <w14:textFill>
                  <w14:solidFill>
                    <w14:schemeClr w14:val="tx1"/>
                  </w14:solidFill>
                </w14:textFill>
              </w:rPr>
              <w:t>品质属性要求</w:t>
            </w:r>
          </w:p>
        </w:tc>
      </w:tr>
      <w:tr w14:paraId="4D9ECB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6" w:hRule="atLeast"/>
        </w:trPr>
        <w:tc>
          <w:tcPr>
            <w:tcW w:w="4015" w:type="dxa"/>
            <w:vAlign w:val="center"/>
          </w:tcPr>
          <w:p w14:paraId="5F473519">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1.树脂交换容量≥1.7mmol/mL</w:t>
            </w:r>
          </w:p>
          <w:p w14:paraId="0DA1FE11">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2.再生药剂耗量＜120g/mol</w:t>
            </w:r>
          </w:p>
          <w:p w14:paraId="0EFD9163">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w:t>
            </w:r>
            <w:r>
              <w:rPr>
                <w:rFonts w:ascii="Times New Roman" w:cs="Times New Roman" w:eastAsiaTheme="minorEastAsia"/>
                <w:bCs/>
                <w:color w:val="000000" w:themeColor="text1"/>
                <w:sz w:val="24"/>
                <w:szCs w:val="24"/>
                <w14:textFill>
                  <w14:solidFill>
                    <w14:schemeClr w14:val="tx1"/>
                  </w14:solidFill>
                </w14:textFill>
              </w:rPr>
              <w:t>设备电机能效等级达到二级及以上</w:t>
            </w:r>
          </w:p>
          <w:p w14:paraId="09132F88">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4.噪声级≤55dB</w:t>
            </w:r>
          </w:p>
        </w:tc>
        <w:tc>
          <w:tcPr>
            <w:tcW w:w="4071" w:type="dxa"/>
            <w:vAlign w:val="center"/>
          </w:tcPr>
          <w:p w14:paraId="4AA643BC">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监测维护：出水硬度、pH监测</w:t>
            </w:r>
          </w:p>
        </w:tc>
      </w:tr>
      <w:tr w14:paraId="0DC596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086" w:type="dxa"/>
            <w:gridSpan w:val="2"/>
          </w:tcPr>
          <w:p w14:paraId="51888E80">
            <w:pPr>
              <w:spacing w:line="240" w:lineRule="auto"/>
              <w:ind w:firstLine="0" w:firstLineChars="0"/>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注：依据T/CECS 10069。</w:t>
            </w:r>
          </w:p>
        </w:tc>
      </w:tr>
    </w:tbl>
    <w:p w14:paraId="1EAC8E78">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56" w:name="_Toc98250149"/>
      <w:bookmarkStart w:id="157" w:name="_Toc186533295"/>
      <w:r>
        <w:rPr>
          <w:rFonts w:ascii="Times New Roman" w:hAnsi="Times New Roman" w:cs="Times New Roman" w:eastAsiaTheme="minorEastAsia"/>
          <w:color w:val="000000" w:themeColor="text1"/>
          <w14:textFill>
            <w14:solidFill>
              <w14:schemeClr w14:val="tx1"/>
            </w14:solidFill>
          </w14:textFill>
        </w:rPr>
        <w:t>5.3.6  雨水回收系统</w:t>
      </w:r>
      <w:bookmarkEnd w:id="148"/>
      <w:bookmarkEnd w:id="149"/>
      <w:bookmarkEnd w:id="150"/>
      <w:bookmarkEnd w:id="156"/>
      <w:bookmarkEnd w:id="157"/>
    </w:p>
    <w:p w14:paraId="79E029DA">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主要材料（系统）：雨水处理设备。</w:t>
      </w:r>
    </w:p>
    <w:p w14:paraId="4840B3CE">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材料性能要求见表99：</w:t>
      </w:r>
    </w:p>
    <w:p w14:paraId="2F1DE6C0">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表99</w:t>
      </w:r>
    </w:p>
    <w:tbl>
      <w:tblPr>
        <w:tblStyle w:val="20"/>
        <w:tblW w:w="8085" w:type="dxa"/>
        <w:tblInd w:w="1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2"/>
      </w:tblGrid>
      <w:tr w14:paraId="173DA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111" w:type="dxa"/>
            <w:shd w:val="clear" w:color="auto" w:fill="auto"/>
            <w:vAlign w:val="center"/>
          </w:tcPr>
          <w:p w14:paraId="0448055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5C16DA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0542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4014" w:type="dxa"/>
            <w:shd w:val="clear" w:color="auto" w:fill="auto"/>
            <w:vAlign w:val="center"/>
          </w:tcPr>
          <w:p w14:paraId="2F813EB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设备电机能效等级达到二级及以上</w:t>
            </w:r>
          </w:p>
        </w:tc>
        <w:tc>
          <w:tcPr>
            <w:tcW w:w="4071" w:type="dxa"/>
            <w:shd w:val="clear" w:color="auto" w:fill="auto"/>
            <w:vAlign w:val="center"/>
          </w:tcPr>
          <w:p w14:paraId="3B9546C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噪声级≤65dB</w:t>
            </w:r>
          </w:p>
        </w:tc>
      </w:tr>
      <w:tr w14:paraId="154A8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085" w:type="dxa"/>
            <w:gridSpan w:val="2"/>
            <w:shd w:val="clear" w:color="auto" w:fill="auto"/>
            <w:vAlign w:val="center"/>
          </w:tcPr>
          <w:p w14:paraId="3527C76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10072。</w:t>
            </w:r>
          </w:p>
        </w:tc>
      </w:tr>
    </w:tbl>
    <w:p w14:paraId="72E1B168">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58" w:name="_Toc186533296"/>
      <w:r>
        <w:rPr>
          <w:rFonts w:ascii="Times New Roman" w:hAnsi="Times New Roman" w:cs="Times New Roman" w:eastAsiaTheme="minorEastAsia"/>
          <w:color w:val="000000" w:themeColor="text1"/>
          <w14:textFill>
            <w14:solidFill>
              <w14:schemeClr w14:val="tx1"/>
            </w14:solidFill>
          </w14:textFill>
        </w:rPr>
        <w:t>5.3.7  二次供水设备</w:t>
      </w:r>
      <w:bookmarkEnd w:id="158"/>
    </w:p>
    <w:p w14:paraId="2DF082F0">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主要材料（系统）：二次供水设备。</w:t>
      </w:r>
    </w:p>
    <w:p w14:paraId="76EA3D42">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材料性能要求见表100：</w:t>
      </w:r>
    </w:p>
    <w:p w14:paraId="6C7C3196">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表100</w:t>
      </w:r>
    </w:p>
    <w:tbl>
      <w:tblPr>
        <w:tblStyle w:val="20"/>
        <w:tblW w:w="8100"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14:paraId="3EF48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4111" w:type="dxa"/>
            <w:shd w:val="clear" w:color="auto" w:fill="auto"/>
            <w:vAlign w:val="center"/>
          </w:tcPr>
          <w:p w14:paraId="6ABE83C7">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DAC13D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9EF4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4015" w:type="dxa"/>
            <w:shd w:val="clear" w:color="auto" w:fill="auto"/>
            <w:vAlign w:val="center"/>
          </w:tcPr>
          <w:p w14:paraId="1967AC9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运行噪声：</w:t>
            </w:r>
          </w:p>
          <w:p w14:paraId="75E375B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单机功率≤4.0 kW·h时：≤65dB（A）；</w:t>
            </w:r>
          </w:p>
          <w:p w14:paraId="6229C8AD">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4.0kW·h＜单机功率≤7.5kW·h时：≤70dB（A）</w:t>
            </w:r>
          </w:p>
          <w:p w14:paraId="1C2CE90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单机功率＞7.5kW·h时：≤80dB（A）</w:t>
            </w:r>
          </w:p>
        </w:tc>
        <w:tc>
          <w:tcPr>
            <w:tcW w:w="4085" w:type="dxa"/>
            <w:shd w:val="clear" w:color="auto" w:fill="auto"/>
            <w:vAlign w:val="center"/>
          </w:tcPr>
          <w:p w14:paraId="4C2B18F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1.单位供水能耗：</w:t>
            </w:r>
          </w:p>
          <w:p w14:paraId="004544A9">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2.台泵（一用一备）：流量≤15m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/h时，≤0.80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kWh/(m³·MPa)；流量＞15m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/h时，≤0.75</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w:t>
            </w:r>
          </w:p>
          <w:p w14:paraId="2DA7E08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3.台泵（二用一备）：流量≤50m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/h时，≤0.70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kWh/(m³·MPa)；流量＞50m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/h时，≤0.65</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w:t>
            </w:r>
          </w:p>
          <w:p w14:paraId="5A5D439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4.台泵（三用一备）：45m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/h＜流量≤80m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/h时，≤0.65</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kWh/(m³·MPa)；流量＞80m</w:t>
            </w:r>
            <w:r>
              <w:rPr>
                <w:rFonts w:cs="Times New Roman" w:eastAsiaTheme="minorEastAsia"/>
                <w:color w:val="000000" w:themeColor="text1"/>
                <w:sz w:val="24"/>
                <w:szCs w:val="24"/>
                <w:vertAlign w:val="superscript"/>
                <w14:textFill>
                  <w14:solidFill>
                    <w14:schemeClr w14:val="tx1"/>
                  </w14:solidFill>
                </w14:textFill>
              </w:rPr>
              <w:t>3</w:t>
            </w:r>
            <w:r>
              <w:rPr>
                <w:rFonts w:cs="Times New Roman" w:eastAsiaTheme="minorEastAsia"/>
                <w:color w:val="000000" w:themeColor="text1"/>
                <w:sz w:val="24"/>
                <w:szCs w:val="24"/>
                <w14:textFill>
                  <w14:solidFill>
                    <w14:schemeClr w14:val="tx1"/>
                  </w14:solidFill>
                </w14:textFill>
              </w:rPr>
              <w:t>/h时，≤0.60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kWh/(m³·MPa)</w:t>
            </w:r>
          </w:p>
          <w:p w14:paraId="40AF748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5.振动烈度：1.20~2.80</w:t>
            </w:r>
            <w:r>
              <w:rPr>
                <w:rFonts w:cs="Times New Roman"/>
                <w:color w:val="000000" w:themeColor="text1"/>
                <w:sz w:val="18"/>
                <w:szCs w:val="24"/>
                <w14:textFill>
                  <w14:solidFill>
                    <w14:schemeClr w14:val="tx1"/>
                  </w14:solidFill>
                </w14:textFill>
              </w:rPr>
              <w:t xml:space="preserve"> </w:t>
            </w:r>
            <w:r>
              <w:rPr>
                <w:rFonts w:cs="Times New Roman" w:eastAsiaTheme="minorEastAsia"/>
                <w:color w:val="000000" w:themeColor="text1"/>
                <w:sz w:val="24"/>
                <w:szCs w:val="24"/>
                <w14:textFill>
                  <w14:solidFill>
                    <w14:schemeClr w14:val="tx1"/>
                  </w14:solidFill>
                </w14:textFill>
              </w:rPr>
              <w:t>mm/s</w:t>
            </w:r>
          </w:p>
        </w:tc>
      </w:tr>
      <w:tr w14:paraId="7DDBA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8100" w:type="dxa"/>
            <w:gridSpan w:val="2"/>
            <w:shd w:val="clear" w:color="auto" w:fill="auto"/>
            <w:vAlign w:val="center"/>
          </w:tcPr>
          <w:p w14:paraId="5316C21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10262。</w:t>
            </w:r>
          </w:p>
        </w:tc>
      </w:tr>
    </w:tbl>
    <w:p w14:paraId="24962AE8">
      <w:pPr>
        <w:pStyle w:val="3"/>
        <w:numPr>
          <w:ilvl w:val="1"/>
          <w:numId w:val="0"/>
        </w:numPr>
        <w:spacing w:line="588" w:lineRule="exact"/>
        <w:ind w:left="142"/>
        <w:rPr>
          <w:rFonts w:cs="Times New Roman"/>
          <w:color w:val="000000" w:themeColor="text1"/>
          <w14:textFill>
            <w14:solidFill>
              <w14:schemeClr w14:val="tx1"/>
            </w14:solidFill>
          </w14:textFill>
        </w:rPr>
      </w:pPr>
      <w:bookmarkStart w:id="159" w:name="_Toc26063"/>
      <w:bookmarkStart w:id="160" w:name="_Toc98250150"/>
      <w:bookmarkStart w:id="161" w:name="_Toc17488"/>
      <w:bookmarkStart w:id="162" w:name="_Toc186533297"/>
      <w:r>
        <w:rPr>
          <w:rFonts w:cs="Times New Roman"/>
          <w:color w:val="000000" w:themeColor="text1"/>
          <w14:textFill>
            <w14:solidFill>
              <w14:schemeClr w14:val="tx1"/>
            </w14:solidFill>
          </w14:textFill>
        </w:rPr>
        <w:t>Ⅱ  暖通空调</w:t>
      </w:r>
      <w:bookmarkEnd w:id="159"/>
      <w:bookmarkEnd w:id="160"/>
      <w:bookmarkEnd w:id="161"/>
      <w:bookmarkEnd w:id="162"/>
    </w:p>
    <w:p w14:paraId="3C6504D7">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63" w:name="_Toc186533298"/>
      <w:r>
        <w:rPr>
          <w:rFonts w:ascii="Times New Roman" w:hAnsi="Times New Roman" w:cs="Times New Roman" w:eastAsiaTheme="minorEastAsia"/>
          <w:color w:val="000000" w:themeColor="text1"/>
          <w14:textFill>
            <w14:solidFill>
              <w14:schemeClr w14:val="tx1"/>
            </w14:solidFill>
          </w14:textFill>
        </w:rPr>
        <w:t>5.3.8  冷热源设备</w:t>
      </w:r>
      <w:bookmarkEnd w:id="163"/>
    </w:p>
    <w:p w14:paraId="6526EBE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（1）主要材料（系统）：冷水机组。</w:t>
      </w:r>
    </w:p>
    <w:p w14:paraId="3F71440C">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材料性能要求见表101：</w:t>
      </w:r>
    </w:p>
    <w:p w14:paraId="7DEB1BC4">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表101</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14:paraId="0C427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4111" w:type="dxa"/>
            <w:shd w:val="clear" w:color="auto" w:fill="auto"/>
            <w:vAlign w:val="center"/>
          </w:tcPr>
          <w:p w14:paraId="3DE699B5">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028249F">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F0D4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14" w:type="dxa"/>
            <w:shd w:val="clear" w:color="auto" w:fill="auto"/>
            <w:vAlign w:val="center"/>
          </w:tcPr>
          <w:p w14:paraId="07C225A5">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1.制冷剂臭氧层破坏潜值ODP=0</w:t>
            </w:r>
          </w:p>
          <w:p w14:paraId="549D7DD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2.噪声≤100%名义值</w:t>
            </w:r>
          </w:p>
        </w:tc>
        <w:tc>
          <w:tcPr>
            <w:tcW w:w="4072" w:type="dxa"/>
            <w:shd w:val="clear" w:color="auto" w:fill="auto"/>
            <w:vAlign w:val="center"/>
          </w:tcPr>
          <w:p w14:paraId="0D6ECCA8">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1.名义工况制冷量≥100%名义值</w:t>
            </w:r>
          </w:p>
          <w:p w14:paraId="0AE35230">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2.名义工况输入功率≤110%名义值</w:t>
            </w:r>
          </w:p>
          <w:p w14:paraId="6B6B267F">
            <w:pPr>
              <w:spacing w:line="240" w:lineRule="auto"/>
              <w:ind w:firstLine="0" w:firstLineChars="0"/>
              <w:rPr>
                <w:rFonts w:cs="Times New Roman" w:eastAsiaTheme="minorEastAsia"/>
                <w:color w:val="000000" w:themeColor="text1"/>
                <w:w w:val="94"/>
                <w:sz w:val="24"/>
                <w:szCs w:val="24"/>
                <w14:textFill>
                  <w14:solidFill>
                    <w14:schemeClr w14:val="tx1"/>
                  </w14:solidFill>
                </w14:textFill>
              </w:rPr>
            </w:pPr>
            <w:r>
              <w:rPr>
                <w:rFonts w:cs="Times New Roman" w:eastAsiaTheme="minorEastAsia"/>
                <w:color w:val="000000" w:themeColor="text1"/>
                <w:w w:val="94"/>
                <w:sz w:val="24"/>
                <w:szCs w:val="24"/>
                <w14:textFill>
                  <w14:solidFill>
                    <w14:schemeClr w14:val="tx1"/>
                  </w14:solidFill>
                </w14:textFill>
              </w:rPr>
              <w:t>3.水侧压力损失≤115%机组名义规定值</w:t>
            </w:r>
          </w:p>
        </w:tc>
      </w:tr>
      <w:tr w14:paraId="2DC2E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086" w:type="dxa"/>
            <w:gridSpan w:val="2"/>
            <w:shd w:val="clear" w:color="auto" w:fill="auto"/>
            <w:vAlign w:val="center"/>
          </w:tcPr>
          <w:p w14:paraId="02D856A7">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10243。</w:t>
            </w:r>
          </w:p>
        </w:tc>
      </w:tr>
    </w:tbl>
    <w:p w14:paraId="53DF4C6F">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（2）主要材料（系统）：空气源热泵（冷热风型、冷热水型空气源热泵机组）。</w:t>
      </w:r>
    </w:p>
    <w:p w14:paraId="166D6338">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材料性能要求见表102：</w:t>
      </w:r>
    </w:p>
    <w:p w14:paraId="06BF2CF3">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表102</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14:paraId="2D903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30D57C49">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91AEE4E">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0E93D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 w:hRule="atLeast"/>
        </w:trPr>
        <w:tc>
          <w:tcPr>
            <w:tcW w:w="4000" w:type="dxa"/>
            <w:shd w:val="clear" w:color="auto" w:fill="auto"/>
            <w:vAlign w:val="center"/>
          </w:tcPr>
          <w:p w14:paraId="0CF1AA2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1.制冷剂臭氧层破坏潜值ODP=0</w:t>
            </w:r>
          </w:p>
          <w:p w14:paraId="62EDDCC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2.噪声≤标称值+3 dB(A)</w:t>
            </w:r>
          </w:p>
        </w:tc>
        <w:tc>
          <w:tcPr>
            <w:tcW w:w="4086" w:type="dxa"/>
            <w:shd w:val="clear" w:color="auto" w:fill="auto"/>
            <w:vAlign w:val="center"/>
          </w:tcPr>
          <w:p w14:paraId="3806FA6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1.名义工况制冷量≥95%标称值</w:t>
            </w:r>
          </w:p>
          <w:p w14:paraId="5A7561E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2.名义工况制热量≥95%标称值</w:t>
            </w:r>
          </w:p>
        </w:tc>
      </w:tr>
      <w:tr w14:paraId="44D79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086" w:type="dxa"/>
            <w:gridSpan w:val="2"/>
            <w:shd w:val="clear" w:color="auto" w:fill="auto"/>
            <w:vAlign w:val="center"/>
          </w:tcPr>
          <w:p w14:paraId="26B7210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10059。</w:t>
            </w:r>
          </w:p>
        </w:tc>
      </w:tr>
    </w:tbl>
    <w:p w14:paraId="196E07FD">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（3）主要材料（系统）：地源热泵。</w:t>
      </w:r>
    </w:p>
    <w:p w14:paraId="62572609">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材料性能要求见表103：</w:t>
      </w:r>
    </w:p>
    <w:p w14:paraId="3B2DF7BA">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表103</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14:paraId="3BFF4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2E5D0441">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2A64ACC9">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0F15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000" w:type="dxa"/>
            <w:shd w:val="clear" w:color="auto" w:fill="auto"/>
            <w:vAlign w:val="center"/>
          </w:tcPr>
          <w:p w14:paraId="4E4D982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1.制冷剂泄漏率不超过总充注量0.5%/年</w:t>
            </w:r>
          </w:p>
          <w:p w14:paraId="56C07FB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2.噪声≤标称值-2dB(A)</w:t>
            </w:r>
          </w:p>
        </w:tc>
        <w:tc>
          <w:tcPr>
            <w:tcW w:w="4086" w:type="dxa"/>
            <w:shd w:val="clear" w:color="auto" w:fill="auto"/>
            <w:vAlign w:val="center"/>
          </w:tcPr>
          <w:p w14:paraId="3104392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ACOP要求：名义制冷量≤150kw的地埋管式ACOP＞4.6；名义制冷量＞150kw的地埋管式ACOP＞5.0；名义制冷量≤150kw的地下水式ACOP＞4.9；名义制冷量＞150kw的地下水式ACOP＞5.5；名义制冷量≤150kw的地表水式ACOP＞4.6；名义制冷量＞150kw的地表水式ACOP＞5.0</w:t>
            </w:r>
          </w:p>
        </w:tc>
      </w:tr>
      <w:tr w14:paraId="6A08D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8086" w:type="dxa"/>
            <w:gridSpan w:val="2"/>
            <w:shd w:val="clear" w:color="auto" w:fill="auto"/>
            <w:vAlign w:val="center"/>
          </w:tcPr>
          <w:p w14:paraId="02478BD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10066。</w:t>
            </w:r>
          </w:p>
        </w:tc>
      </w:tr>
    </w:tbl>
    <w:p w14:paraId="04244FB7">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64" w:name="_Toc30344"/>
      <w:bookmarkStart w:id="165" w:name="_Toc186533299"/>
      <w:bookmarkStart w:id="166" w:name="_Toc98250152"/>
      <w:r>
        <w:rPr>
          <w:rFonts w:ascii="Times New Roman" w:hAnsi="Times New Roman" w:cs="Times New Roman" w:eastAsiaTheme="minorEastAsia"/>
          <w:color w:val="000000" w:themeColor="text1"/>
          <w14:textFill>
            <w14:solidFill>
              <w14:schemeClr w14:val="tx1"/>
            </w14:solidFill>
          </w14:textFill>
        </w:rPr>
        <w:t>5.3.9  通风系统</w:t>
      </w:r>
      <w:bookmarkEnd w:id="164"/>
      <w:r>
        <w:rPr>
          <w:rFonts w:ascii="Times New Roman" w:hAnsi="Times New Roman" w:cs="Times New Roman" w:eastAsiaTheme="minorEastAsia"/>
          <w:color w:val="000000" w:themeColor="text1"/>
          <w14:textFill>
            <w14:solidFill>
              <w14:schemeClr w14:val="tx1"/>
            </w14:solidFill>
          </w14:textFill>
        </w:rPr>
        <w:t>设备</w:t>
      </w:r>
      <w:bookmarkEnd w:id="165"/>
      <w:bookmarkEnd w:id="166"/>
    </w:p>
    <w:p w14:paraId="18A9E3D8">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（1）主要材料（系统）：组合式空调机组。</w:t>
      </w:r>
    </w:p>
    <w:p w14:paraId="00DA5642">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材料性能要求见表104：</w:t>
      </w:r>
    </w:p>
    <w:p w14:paraId="7D113674">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表104</w:t>
      </w:r>
    </w:p>
    <w:tbl>
      <w:tblPr>
        <w:tblStyle w:val="20"/>
        <w:tblW w:w="8086"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3"/>
        <w:gridCol w:w="4043"/>
      </w:tblGrid>
      <w:tr w14:paraId="4310F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51FF7E6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0BF6E49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15194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4014" w:type="dxa"/>
            <w:shd w:val="clear" w:color="auto" w:fill="auto"/>
            <w:vAlign w:val="center"/>
          </w:tcPr>
          <w:p w14:paraId="1A16F3C6">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1.离心式通风机效率≥额定工况点效率的97%</w:t>
            </w:r>
          </w:p>
          <w:p w14:paraId="54CC7D61">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2.轴流式通风机效率≥额定工况点效率的98%</w:t>
            </w:r>
          </w:p>
        </w:tc>
        <w:tc>
          <w:tcPr>
            <w:tcW w:w="4072" w:type="dxa"/>
            <w:shd w:val="clear" w:color="auto" w:fill="auto"/>
            <w:vAlign w:val="center"/>
          </w:tcPr>
          <w:p w14:paraId="375346F9">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1.名义工况供冷量≥95%名义值</w:t>
            </w:r>
          </w:p>
          <w:p w14:paraId="38021D9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2.名义工况供热量≥95%名义值</w:t>
            </w:r>
          </w:p>
          <w:p w14:paraId="47BB032A">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3.噪声≤额定值-1</w:t>
            </w:r>
          </w:p>
          <w:p w14:paraId="5292481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4.PM</w:t>
            </w:r>
            <w:r>
              <w:rPr>
                <w:rFonts w:cs="Times New Roman" w:eastAsiaTheme="minorEastAsia"/>
                <w:color w:val="000000" w:themeColor="text1"/>
                <w:sz w:val="24"/>
                <w:szCs w:val="24"/>
                <w:vertAlign w:val="subscript"/>
                <w14:textFill>
                  <w14:solidFill>
                    <w14:schemeClr w14:val="tx1"/>
                  </w14:solidFill>
                </w14:textFill>
              </w:rPr>
              <w:t>2.5</w:t>
            </w:r>
            <w:r>
              <w:rPr>
                <w:rFonts w:cs="Times New Roman" w:eastAsiaTheme="minorEastAsia"/>
                <w:color w:val="000000" w:themeColor="text1"/>
                <w:sz w:val="24"/>
                <w:szCs w:val="24"/>
                <w14:textFill>
                  <w14:solidFill>
                    <w14:schemeClr w14:val="tx1"/>
                  </w14:solidFill>
                </w14:textFill>
              </w:rPr>
              <w:t>净化效率：普通机组≥70%，用于净化空调系统的机组≥90%</w:t>
            </w:r>
          </w:p>
        </w:tc>
      </w:tr>
      <w:tr w14:paraId="19043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086" w:type="dxa"/>
            <w:gridSpan w:val="2"/>
            <w:shd w:val="clear" w:color="auto" w:fill="auto"/>
            <w:vAlign w:val="center"/>
          </w:tcPr>
          <w:p w14:paraId="29A07310">
            <w:pPr>
              <w:pStyle w:val="8"/>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 19761、GB/T 14294、GB/T 34012。</w:t>
            </w:r>
          </w:p>
        </w:tc>
      </w:tr>
    </w:tbl>
    <w:p w14:paraId="1AE9963D">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（2）主要材料（系统）：新风净化系统。</w:t>
      </w:r>
    </w:p>
    <w:p w14:paraId="24162CA1">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材料性能要求见表105：</w:t>
      </w:r>
    </w:p>
    <w:p w14:paraId="1AE5C909">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表105</w:t>
      </w:r>
    </w:p>
    <w:tbl>
      <w:tblPr>
        <w:tblStyle w:val="20"/>
        <w:tblW w:w="8114"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14:paraId="0D8EE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08936EF8">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53EF785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3547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4043" w:type="dxa"/>
            <w:shd w:val="clear" w:color="auto" w:fill="auto"/>
            <w:vAlign w:val="center"/>
          </w:tcPr>
          <w:p w14:paraId="5991AB6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新风臭氧浓度增加量≤0.03 mg/m</w:t>
            </w:r>
            <w:r>
              <w:rPr>
                <w:rFonts w:cs="Times New Roman" w:eastAsiaTheme="minorEastAsia"/>
                <w:color w:val="000000" w:themeColor="text1"/>
                <w:sz w:val="24"/>
                <w:szCs w:val="24"/>
                <w:vertAlign w:val="superscript"/>
                <w14:textFill>
                  <w14:solidFill>
                    <w14:schemeClr w14:val="tx1"/>
                  </w14:solidFill>
                </w14:textFill>
              </w:rPr>
              <w:t>3</w:t>
            </w:r>
          </w:p>
        </w:tc>
        <w:tc>
          <w:tcPr>
            <w:tcW w:w="4071" w:type="dxa"/>
            <w:shd w:val="clear" w:color="auto" w:fill="auto"/>
            <w:vAlign w:val="center"/>
          </w:tcPr>
          <w:p w14:paraId="6B6B5265">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1.PM</w:t>
            </w:r>
            <w:r>
              <w:rPr>
                <w:rFonts w:cs="Times New Roman" w:eastAsiaTheme="minorEastAsia"/>
                <w:color w:val="000000" w:themeColor="text1"/>
                <w:sz w:val="24"/>
                <w:szCs w:val="24"/>
                <w:vertAlign w:val="subscript"/>
                <w14:textFill>
                  <w14:solidFill>
                    <w14:schemeClr w14:val="tx1"/>
                  </w14:solidFill>
                </w14:textFill>
              </w:rPr>
              <w:t>2.5</w:t>
            </w:r>
            <w:r>
              <w:rPr>
                <w:rFonts w:cs="Times New Roman" w:eastAsiaTheme="minorEastAsia"/>
                <w:color w:val="000000" w:themeColor="text1"/>
                <w:sz w:val="24"/>
                <w:szCs w:val="24"/>
                <w14:textFill>
                  <w14:solidFill>
                    <w14:schemeClr w14:val="tx1"/>
                  </w14:solidFill>
                </w14:textFill>
              </w:rPr>
              <w:t>净化效率≥90%</w:t>
            </w:r>
          </w:p>
          <w:p w14:paraId="4095D8E1">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2.单位风量耗功率应比现行国家标准《公共建筑节能设计标准》GB 50189的规定低20%</w:t>
            </w:r>
          </w:p>
          <w:p w14:paraId="1BE84C5E">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3.制冷焓交换效率≥58%、制热焓交换效率≥65%（全热回收型），制冷温度交换效率≥70%、制热温度交换效率≥75%（显热回收型）</w:t>
            </w:r>
          </w:p>
          <w:p w14:paraId="2F18A644">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4.新风系统在额定机外余压下，风量实测值应不小于标称值的95%</w:t>
            </w:r>
          </w:p>
        </w:tc>
      </w:tr>
      <w:tr w14:paraId="059A9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8114" w:type="dxa"/>
            <w:gridSpan w:val="2"/>
            <w:shd w:val="clear" w:color="auto" w:fill="auto"/>
            <w:vAlign w:val="center"/>
          </w:tcPr>
          <w:p w14:paraId="3A7F095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50378、T/CECS 10061。</w:t>
            </w:r>
          </w:p>
        </w:tc>
      </w:tr>
    </w:tbl>
    <w:p w14:paraId="38419D12">
      <w:pPr>
        <w:pStyle w:val="3"/>
        <w:numPr>
          <w:ilvl w:val="1"/>
          <w:numId w:val="0"/>
        </w:numPr>
        <w:spacing w:line="588" w:lineRule="exact"/>
        <w:ind w:left="142"/>
        <w:rPr>
          <w:rFonts w:cs="Times New Roman"/>
          <w:color w:val="000000" w:themeColor="text1"/>
          <w14:textFill>
            <w14:solidFill>
              <w14:schemeClr w14:val="tx1"/>
            </w14:solidFill>
          </w14:textFill>
        </w:rPr>
      </w:pPr>
      <w:bookmarkStart w:id="167" w:name="_Toc98250153"/>
      <w:bookmarkStart w:id="168" w:name="_Toc29078"/>
      <w:bookmarkStart w:id="169" w:name="_Toc186533300"/>
      <w:bookmarkStart w:id="170" w:name="_Toc48576168"/>
      <w:bookmarkStart w:id="171" w:name="_Toc27986"/>
      <w:r>
        <w:rPr>
          <w:rFonts w:cs="Times New Roman"/>
          <w:color w:val="000000" w:themeColor="text1"/>
          <w14:textFill>
            <w14:solidFill>
              <w14:schemeClr w14:val="tx1"/>
            </w14:solidFill>
          </w14:textFill>
        </w:rPr>
        <w:t>Ⅲ  建筑电气</w:t>
      </w:r>
      <w:bookmarkEnd w:id="167"/>
      <w:bookmarkEnd w:id="168"/>
      <w:bookmarkEnd w:id="169"/>
      <w:bookmarkEnd w:id="170"/>
      <w:bookmarkEnd w:id="171"/>
    </w:p>
    <w:p w14:paraId="7A4E424B">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72" w:name="_Toc3347"/>
      <w:bookmarkStart w:id="173" w:name="_Toc186533301"/>
      <w:bookmarkStart w:id="174" w:name="_Toc16530"/>
      <w:bookmarkStart w:id="175" w:name="_Toc48576169"/>
      <w:bookmarkStart w:id="176" w:name="_Toc98250154"/>
      <w:r>
        <w:rPr>
          <w:rFonts w:ascii="Times New Roman" w:hAnsi="Times New Roman" w:cs="Times New Roman" w:eastAsiaTheme="minorEastAsia"/>
          <w:color w:val="000000" w:themeColor="text1"/>
          <w14:textFill>
            <w14:solidFill>
              <w14:schemeClr w14:val="tx1"/>
            </w14:solidFill>
          </w14:textFill>
        </w:rPr>
        <w:t>5.3.10  太阳能光伏发电系统</w:t>
      </w:r>
      <w:bookmarkEnd w:id="172"/>
      <w:bookmarkEnd w:id="173"/>
      <w:bookmarkEnd w:id="174"/>
      <w:bookmarkEnd w:id="175"/>
      <w:bookmarkEnd w:id="176"/>
    </w:p>
    <w:p w14:paraId="10822155">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（1）主要材料（系统）：太阳能光伏发电系统。</w:t>
      </w:r>
    </w:p>
    <w:p w14:paraId="57C97F20">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材料性能要求见表106：</w:t>
      </w:r>
    </w:p>
    <w:p w14:paraId="287D8435">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表106</w:t>
      </w:r>
    </w:p>
    <w:tbl>
      <w:tblPr>
        <w:tblStyle w:val="20"/>
        <w:tblW w:w="8114"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7"/>
        <w:gridCol w:w="4057"/>
      </w:tblGrid>
      <w:tr w14:paraId="09A71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5F97366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FA5EC8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68105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trPr>
        <w:tc>
          <w:tcPr>
            <w:tcW w:w="4057" w:type="dxa"/>
            <w:shd w:val="clear" w:color="auto" w:fill="auto"/>
            <w:vAlign w:val="center"/>
          </w:tcPr>
          <w:p w14:paraId="5DC4D9A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1.集中/集散式逆变系统功率比≥85%</w:t>
            </w:r>
          </w:p>
          <w:p w14:paraId="34F6373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2.组串式逆变系统功率比≥88%</w:t>
            </w:r>
          </w:p>
          <w:p w14:paraId="7238E154">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3.微型逆变系统功率比≥89%</w:t>
            </w:r>
          </w:p>
        </w:tc>
        <w:tc>
          <w:tcPr>
            <w:tcW w:w="4057" w:type="dxa"/>
            <w:shd w:val="clear" w:color="auto" w:fill="auto"/>
            <w:vAlign w:val="center"/>
          </w:tcPr>
          <w:p w14:paraId="32244B45">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系统使用寿命≥20年</w:t>
            </w:r>
          </w:p>
        </w:tc>
      </w:tr>
      <w:tr w14:paraId="53EE7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14" w:type="dxa"/>
            <w:gridSpan w:val="2"/>
            <w:shd w:val="clear" w:color="auto" w:fill="auto"/>
            <w:vAlign w:val="center"/>
          </w:tcPr>
          <w:p w14:paraId="49A0FB10">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10074。</w:t>
            </w:r>
          </w:p>
        </w:tc>
      </w:tr>
    </w:tbl>
    <w:p w14:paraId="4742AF13">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（2）主要材料（系统）：太阳能光伏组件。</w:t>
      </w:r>
    </w:p>
    <w:p w14:paraId="37815F99">
      <w:pPr>
        <w:spacing w:line="588" w:lineRule="exact"/>
        <w:ind w:firstLine="560"/>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t>材料性能要求见表107：</w:t>
      </w:r>
    </w:p>
    <w:p w14:paraId="59BB9F80">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表107</w:t>
      </w:r>
    </w:p>
    <w:tbl>
      <w:tblPr>
        <w:tblStyle w:val="20"/>
        <w:tblW w:w="814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2"/>
      </w:tblGrid>
      <w:tr w14:paraId="66E91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8222" w:type="dxa"/>
            <w:shd w:val="clear" w:color="auto" w:fill="auto"/>
            <w:vAlign w:val="center"/>
          </w:tcPr>
          <w:p w14:paraId="6100282B">
            <w:pPr>
              <w:widowControl/>
              <w:spacing w:line="240" w:lineRule="auto"/>
              <w:ind w:firstLine="0" w:firstLineChars="0"/>
              <w:jc w:val="center"/>
              <w:rPr>
                <w:rFonts w:cs="Times New Roman" w:eastAsiaTheme="minorEastAsia"/>
                <w:b/>
                <w:bCs/>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77368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8142" w:type="dxa"/>
            <w:shd w:val="clear" w:color="auto" w:fill="auto"/>
            <w:vAlign w:val="center"/>
          </w:tcPr>
          <w:p w14:paraId="5962576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P型晶硅组件衰减率：首年≤2%，后续每年≤0.55%，25年内不高于15%；</w:t>
            </w:r>
          </w:p>
          <w:p w14:paraId="1B81E3F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N型晶硅组件衰减率：首年≤1%，后续每年≤0.4%，25年内不高于11%；</w:t>
            </w:r>
          </w:p>
          <w:p w14:paraId="1466EBC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薄膜组件衰减率：首年≤4%，后续每年≤0.4%，25年内不高于14%。</w:t>
            </w:r>
          </w:p>
        </w:tc>
      </w:tr>
      <w:tr w14:paraId="3E036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42" w:type="dxa"/>
            <w:shd w:val="clear" w:color="auto" w:fill="auto"/>
            <w:vAlign w:val="center"/>
          </w:tcPr>
          <w:p w14:paraId="4CB5AA9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10074、工业和信息化部《</w:t>
            </w:r>
            <w:r>
              <w:fldChar w:fldCharType="begin"/>
            </w:r>
            <w:r>
              <w:instrText xml:space="preserve"> HYPERLINK "https://news.91jinshu.com/guangfuchanye/" \t "_blank" </w:instrText>
            </w:r>
            <w:r>
              <w:fldChar w:fldCharType="separate"/>
            </w:r>
            <w:r>
              <w:rPr>
                <w:rFonts w:cs="Times New Roman" w:eastAsiaTheme="minorEastAsia"/>
                <w:color w:val="000000" w:themeColor="text1"/>
                <w:sz w:val="24"/>
                <w:szCs w:val="24"/>
                <w14:textFill>
                  <w14:solidFill>
                    <w14:schemeClr w14:val="tx1"/>
                  </w14:solidFill>
                </w14:textFill>
              </w:rPr>
              <w:t>光伏</w:t>
            </w:r>
            <w:r>
              <w:rPr>
                <w:rFonts w:cs="Times New Roman" w:eastAsiaTheme="minorEastAsia"/>
                <w:color w:val="000000" w:themeColor="text1"/>
                <w:sz w:val="24"/>
                <w:szCs w:val="24"/>
                <w14:textFill>
                  <w14:solidFill>
                    <w14:schemeClr w14:val="tx1"/>
                  </w14:solidFill>
                </w14:textFill>
              </w:rPr>
              <w:fldChar w:fldCharType="end"/>
            </w:r>
            <w:r>
              <w:rPr>
                <w:rFonts w:cs="Times New Roman" w:eastAsiaTheme="minorEastAsia"/>
                <w:color w:val="000000" w:themeColor="text1"/>
                <w:sz w:val="24"/>
                <w:szCs w:val="24"/>
                <w14:textFill>
                  <w14:solidFill>
                    <w14:schemeClr w14:val="tx1"/>
                  </w14:solidFill>
                </w14:textFill>
              </w:rPr>
              <w:t>制造行业规范条件（2024年本）》。</w:t>
            </w:r>
          </w:p>
        </w:tc>
      </w:tr>
    </w:tbl>
    <w:p w14:paraId="4AE21A7A">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77" w:name="_Toc98250155"/>
      <w:bookmarkStart w:id="178" w:name="_Toc48576170"/>
      <w:bookmarkStart w:id="179" w:name="_Toc16520"/>
      <w:bookmarkStart w:id="180" w:name="_Toc913"/>
      <w:bookmarkStart w:id="181" w:name="_Toc186533302"/>
      <w:r>
        <w:rPr>
          <w:rFonts w:ascii="Times New Roman" w:hAnsi="Times New Roman" w:cs="Times New Roman" w:eastAsiaTheme="minorEastAsia"/>
          <w:color w:val="000000" w:themeColor="text1"/>
          <w14:textFill>
            <w14:solidFill>
              <w14:schemeClr w14:val="tx1"/>
            </w14:solidFill>
          </w14:textFill>
        </w:rPr>
        <w:t>5.3.11  电气照明</w:t>
      </w:r>
      <w:bookmarkEnd w:id="177"/>
      <w:bookmarkEnd w:id="178"/>
      <w:bookmarkEnd w:id="179"/>
      <w:bookmarkEnd w:id="180"/>
      <w:bookmarkEnd w:id="181"/>
    </w:p>
    <w:p w14:paraId="559B551D">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（1）主要材料（系统）：室内照明用LED产品。</w:t>
      </w:r>
    </w:p>
    <w:p w14:paraId="6DF055C5">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材料性能要求见表108：</w:t>
      </w:r>
    </w:p>
    <w:p w14:paraId="1512DBEA">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表108</w:t>
      </w:r>
    </w:p>
    <w:tbl>
      <w:tblPr>
        <w:tblStyle w:val="20"/>
        <w:tblW w:w="8100"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14:paraId="6BBB0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trPr>
        <w:tc>
          <w:tcPr>
            <w:tcW w:w="4111" w:type="dxa"/>
            <w:shd w:val="clear" w:color="auto" w:fill="auto"/>
            <w:vAlign w:val="center"/>
          </w:tcPr>
          <w:p w14:paraId="5593178C">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43C870B3">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5F266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4028" w:type="dxa"/>
            <w:shd w:val="clear" w:color="auto" w:fill="auto"/>
            <w:vAlign w:val="center"/>
          </w:tcPr>
          <w:p w14:paraId="6ABA3D17">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1.非定向LED光源能效≥90 lm/W</w:t>
            </w:r>
          </w:p>
          <w:p w14:paraId="509AB40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2.LED筒灯能效≥80 lm/W</w:t>
            </w:r>
          </w:p>
          <w:p w14:paraId="49A8BD5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3.LED线形灯具能效≥90 lm/W</w:t>
            </w:r>
          </w:p>
          <w:p w14:paraId="27BCD62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4.LED平面灯具能效：（额定一般显色指数＜90时）≥95 lm/W；（额定一般显色指数≥90时）≥85 lm/W</w:t>
            </w:r>
          </w:p>
          <w:p w14:paraId="77DF388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5.LED高天棚灯具能效≥90 lm/W</w:t>
            </w:r>
          </w:p>
        </w:tc>
        <w:tc>
          <w:tcPr>
            <w:tcW w:w="4072" w:type="dxa"/>
            <w:shd w:val="clear" w:color="auto" w:fill="auto"/>
            <w:vAlign w:val="center"/>
          </w:tcPr>
          <w:p w14:paraId="3949E10E">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1.频闪比≤3%（光输出波形频率大于3125Hz时豁免）</w:t>
            </w:r>
          </w:p>
          <w:p w14:paraId="5AF7B60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2.色容差≤5</w:t>
            </w:r>
          </w:p>
          <w:p w14:paraId="12647DDB">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3.一般显色指数≥80，特殊显色指数R</w:t>
            </w:r>
            <w:r>
              <w:rPr>
                <w:rFonts w:cs="Times New Roman" w:eastAsiaTheme="minorEastAsia"/>
                <w:color w:val="000000" w:themeColor="text1"/>
                <w:sz w:val="24"/>
                <w:szCs w:val="24"/>
                <w:vertAlign w:val="subscript"/>
                <w14:textFill>
                  <w14:solidFill>
                    <w14:schemeClr w14:val="tx1"/>
                  </w14:solidFill>
                </w14:textFill>
              </w:rPr>
              <w:t>9</w:t>
            </w:r>
            <w:r>
              <w:rPr>
                <w:rFonts w:cs="Times New Roman" w:eastAsiaTheme="minorEastAsia"/>
                <w:color w:val="000000" w:themeColor="text1"/>
                <w:sz w:val="24"/>
                <w:szCs w:val="24"/>
                <w14:textFill>
                  <w14:solidFill>
                    <w14:schemeClr w14:val="tx1"/>
                  </w14:solidFill>
                </w14:textFill>
              </w:rPr>
              <w:t xml:space="preserve">≥20 </w:t>
            </w:r>
          </w:p>
          <w:p w14:paraId="0E5546B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4.波动深度应满足现行国家标准《LED室内照明应用技术要求》GB/T 31831的规定</w:t>
            </w:r>
          </w:p>
        </w:tc>
      </w:tr>
      <w:tr w14:paraId="425F1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8100" w:type="dxa"/>
            <w:gridSpan w:val="2"/>
            <w:shd w:val="clear" w:color="auto" w:fill="auto"/>
            <w:vAlign w:val="center"/>
          </w:tcPr>
          <w:p w14:paraId="00BB126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 30255、GB 38450、GB/T 50378、T/CECS 10064。</w:t>
            </w:r>
          </w:p>
        </w:tc>
      </w:tr>
    </w:tbl>
    <w:p w14:paraId="5F9255E2">
      <w:pPr>
        <w:spacing w:line="588" w:lineRule="exact"/>
        <w:ind w:firstLine="560"/>
        <w:rPr>
          <w:rFonts w:cs="Times New Roman" w:eastAsiaTheme="minorEastAsia"/>
          <w:color w:val="000000" w:themeColor="text1"/>
          <w:szCs w:val="28"/>
          <w14:textFill>
            <w14:solidFill>
              <w14:schemeClr w14:val="tx1"/>
            </w14:solidFill>
          </w14:textFill>
        </w:rPr>
      </w:pPr>
      <w:bookmarkStart w:id="182" w:name="_Toc30317"/>
      <w:bookmarkStart w:id="183" w:name="_Toc6978"/>
      <w:bookmarkStart w:id="184" w:name="_Toc48576172"/>
      <w:r>
        <w:rPr>
          <w:rFonts w:cs="Times New Roman" w:eastAsiaTheme="minorEastAsia"/>
          <w:color w:val="000000" w:themeColor="text1"/>
          <w:szCs w:val="28"/>
          <w14:textFill>
            <w14:solidFill>
              <w14:schemeClr w14:val="tx1"/>
            </w14:solidFill>
          </w14:textFill>
        </w:rPr>
        <w:t>（2）主要材料（系统）：室外照明用LED投光灯。</w:t>
      </w:r>
    </w:p>
    <w:p w14:paraId="532481AD">
      <w:pPr>
        <w:spacing w:line="588" w:lineRule="exact"/>
        <w:ind w:firstLine="560"/>
        <w:rPr>
          <w:rFonts w:cs="Times New Roman" w:eastAsiaTheme="minorEastAsia"/>
          <w:color w:val="000000" w:themeColor="text1"/>
          <w:szCs w:val="28"/>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材料性能要求见表109：</w:t>
      </w:r>
    </w:p>
    <w:p w14:paraId="7E15F9F6">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表109</w:t>
      </w:r>
    </w:p>
    <w:tbl>
      <w:tblPr>
        <w:tblStyle w:val="20"/>
        <w:tblW w:w="8100"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50"/>
        <w:gridCol w:w="4050"/>
      </w:tblGrid>
      <w:tr w14:paraId="61681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4111" w:type="dxa"/>
            <w:shd w:val="clear" w:color="auto" w:fill="auto"/>
            <w:vAlign w:val="center"/>
          </w:tcPr>
          <w:p w14:paraId="111AF63B">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11" w:type="dxa"/>
            <w:shd w:val="clear" w:color="auto" w:fill="auto"/>
            <w:vAlign w:val="center"/>
          </w:tcPr>
          <w:p w14:paraId="14C9FAD0">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0C430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029" w:type="dxa"/>
            <w:shd w:val="clear" w:color="auto" w:fill="auto"/>
            <w:vAlign w:val="center"/>
          </w:tcPr>
          <w:p w14:paraId="37D6D216">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1.光束效率≥90%（光束角按10%最大光强计算）</w:t>
            </w:r>
          </w:p>
          <w:p w14:paraId="3451404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2.灯具能效：（一般显色指数大于70时且小于等于80时）≥90 lm/W；（一般显色指数大于80时）≥85 lm/W</w:t>
            </w:r>
          </w:p>
        </w:tc>
        <w:tc>
          <w:tcPr>
            <w:tcW w:w="4071" w:type="dxa"/>
            <w:shd w:val="clear" w:color="auto" w:fill="auto"/>
            <w:vAlign w:val="center"/>
          </w:tcPr>
          <w:p w14:paraId="40EB0913">
            <w:pPr>
              <w:spacing w:line="240" w:lineRule="auto"/>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色容差≤5</w:t>
            </w:r>
          </w:p>
        </w:tc>
      </w:tr>
      <w:tr w14:paraId="6FFE3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8100" w:type="dxa"/>
            <w:gridSpan w:val="2"/>
            <w:shd w:val="clear" w:color="auto" w:fill="auto"/>
            <w:vAlign w:val="center"/>
          </w:tcPr>
          <w:p w14:paraId="10AED28A">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注：依据T/CECS 10064。</w:t>
            </w:r>
          </w:p>
        </w:tc>
      </w:tr>
      <w:bookmarkEnd w:id="182"/>
      <w:bookmarkEnd w:id="183"/>
      <w:bookmarkEnd w:id="184"/>
    </w:tbl>
    <w:p w14:paraId="3964AA8E">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85" w:name="_Toc98250156"/>
      <w:bookmarkStart w:id="186" w:name="_Toc98251038"/>
      <w:bookmarkStart w:id="187" w:name="_Toc186533303"/>
      <w:bookmarkStart w:id="188" w:name="_Toc98250158"/>
      <w:r>
        <w:rPr>
          <w:rFonts w:ascii="Times New Roman" w:hAnsi="Times New Roman" w:cs="Times New Roman" w:eastAsiaTheme="minorEastAsia"/>
          <w:color w:val="000000" w:themeColor="text1"/>
          <w14:textFill>
            <w14:solidFill>
              <w14:schemeClr w14:val="tx1"/>
            </w14:solidFill>
          </w14:textFill>
        </w:rPr>
        <w:t>5.3.12  高低压配电柜</w:t>
      </w:r>
      <w:bookmarkEnd w:id="185"/>
      <w:bookmarkEnd w:id="186"/>
      <w:bookmarkEnd w:id="187"/>
    </w:p>
    <w:p w14:paraId="037848F3">
      <w:pPr>
        <w:spacing w:line="588" w:lineRule="exact"/>
        <w:ind w:firstLine="560"/>
        <w:rPr>
          <w:rFonts w:cs="Times New Roman" w:eastAsiaTheme="minorEastAsia"/>
          <w:color w:val="000000" w:themeColor="text1"/>
          <w:szCs w:val="30"/>
          <w14:textFill>
            <w14:solidFill>
              <w14:schemeClr w14:val="tx1"/>
            </w14:solidFill>
          </w14:textFill>
        </w:rPr>
      </w:pPr>
      <w:r>
        <w:rPr>
          <w:rFonts w:cs="Times New Roman" w:eastAsiaTheme="minorEastAsia"/>
          <w:color w:val="000000" w:themeColor="text1"/>
          <w:szCs w:val="30"/>
          <w14:textFill>
            <w14:solidFill>
              <w14:schemeClr w14:val="tx1"/>
            </w14:solidFill>
          </w14:textFill>
        </w:rPr>
        <w:t>主要材料（系统）：高低压配电柜（板）。</w:t>
      </w:r>
    </w:p>
    <w:p w14:paraId="26906973">
      <w:pPr>
        <w:spacing w:line="588" w:lineRule="exact"/>
        <w:ind w:firstLine="560"/>
        <w:rPr>
          <w:rFonts w:cs="Times New Roman" w:eastAsiaTheme="minorEastAsia"/>
          <w:color w:val="000000" w:themeColor="text1"/>
          <w:szCs w:val="28"/>
          <w14:textFill>
            <w14:solidFill>
              <w14:schemeClr w14:val="tx1"/>
            </w14:solidFill>
          </w14:textFill>
        </w:rPr>
      </w:pPr>
      <w:bookmarkStart w:id="189" w:name="OLE_LINK4"/>
      <w:bookmarkStart w:id="190" w:name="OLE_LINK5"/>
      <w:r>
        <w:rPr>
          <w:rFonts w:cs="Times New Roman" w:eastAsiaTheme="minorEastAsia"/>
          <w:color w:val="000000" w:themeColor="text1"/>
          <w:szCs w:val="28"/>
          <w14:textFill>
            <w14:solidFill>
              <w14:schemeClr w14:val="tx1"/>
            </w14:solidFill>
          </w14:textFill>
        </w:rPr>
        <w:t>材料</w:t>
      </w:r>
      <w:bookmarkEnd w:id="189"/>
      <w:bookmarkEnd w:id="190"/>
      <w:r>
        <w:rPr>
          <w:rFonts w:cs="Times New Roman" w:eastAsiaTheme="minorEastAsia"/>
          <w:color w:val="000000" w:themeColor="text1"/>
          <w:szCs w:val="28"/>
          <w14:textFill>
            <w14:solidFill>
              <w14:schemeClr w14:val="tx1"/>
            </w14:solidFill>
          </w14:textFill>
        </w:rPr>
        <w:t>性能要求见表110：</w:t>
      </w:r>
    </w:p>
    <w:p w14:paraId="1A82E93B">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表110</w:t>
      </w:r>
    </w:p>
    <w:tbl>
      <w:tblPr>
        <w:tblStyle w:val="20"/>
        <w:tblW w:w="8100" w:type="dxa"/>
        <w:tblInd w:w="1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44"/>
        <w:gridCol w:w="4056"/>
      </w:tblGrid>
      <w:tr w14:paraId="52F16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4111" w:type="dxa"/>
            <w:shd w:val="clear" w:color="auto" w:fill="auto"/>
            <w:vAlign w:val="center"/>
          </w:tcPr>
          <w:p w14:paraId="7975C204">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绿色要求</w:t>
            </w:r>
          </w:p>
        </w:tc>
        <w:tc>
          <w:tcPr>
            <w:tcW w:w="4124" w:type="dxa"/>
            <w:shd w:val="clear" w:color="auto" w:fill="auto"/>
            <w:vAlign w:val="center"/>
          </w:tcPr>
          <w:p w14:paraId="4C9E62C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20AD7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3976" w:type="dxa"/>
            <w:shd w:val="clear" w:color="auto" w:fill="auto"/>
            <w:vAlign w:val="center"/>
          </w:tcPr>
          <w:p w14:paraId="7A2E72C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应能提供产品有效的功耗数据</w:t>
            </w:r>
          </w:p>
        </w:tc>
        <w:tc>
          <w:tcPr>
            <w:tcW w:w="4124" w:type="dxa"/>
            <w:shd w:val="clear" w:color="auto" w:fill="auto"/>
            <w:vAlign w:val="center"/>
          </w:tcPr>
          <w:p w14:paraId="5FFD06B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1.低压配电柜：产品各部位的最高温升值低于相应温升限值至少5K；保护电路最大电阻值不超过20mΩ</w:t>
            </w:r>
          </w:p>
          <w:p w14:paraId="0D994673">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2.低压配电板：元器件外部的电气间隙≥6.3mm、爬电距离≥8mm；产品各部位的最高温升值低于相应温升限值至少5K</w:t>
            </w:r>
          </w:p>
        </w:tc>
      </w:tr>
      <w:tr w14:paraId="60D1E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8100" w:type="dxa"/>
            <w:gridSpan w:val="2"/>
            <w:shd w:val="clear" w:color="auto" w:fill="auto"/>
            <w:vAlign w:val="center"/>
          </w:tcPr>
          <w:p w14:paraId="67173881">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7251.3、</w:t>
            </w:r>
            <w:bookmarkStart w:id="191" w:name="OLE_LINK18"/>
            <w:bookmarkStart w:id="192" w:name="OLE_LINK17"/>
            <w:r>
              <w:rPr>
                <w:rFonts w:cs="Times New Roman" w:eastAsiaTheme="minorEastAsia"/>
                <w:color w:val="000000" w:themeColor="text1"/>
                <w:sz w:val="24"/>
                <w:szCs w:val="24"/>
                <w14:textFill>
                  <w14:solidFill>
                    <w14:schemeClr w14:val="tx1"/>
                  </w14:solidFill>
                </w14:textFill>
              </w:rPr>
              <w:t>GB/T 7251.5、T/CEEIA 334</w:t>
            </w:r>
            <w:bookmarkEnd w:id="191"/>
            <w:bookmarkEnd w:id="192"/>
            <w:r>
              <w:rPr>
                <w:rFonts w:cs="Times New Roman" w:eastAsiaTheme="minorEastAsia"/>
                <w:color w:val="000000" w:themeColor="text1"/>
                <w:sz w:val="24"/>
                <w:szCs w:val="24"/>
                <w14:textFill>
                  <w14:solidFill>
                    <w14:schemeClr w14:val="tx1"/>
                  </w14:solidFill>
                </w14:textFill>
              </w:rPr>
              <w:t>。</w:t>
            </w:r>
          </w:p>
        </w:tc>
      </w:tr>
    </w:tbl>
    <w:p w14:paraId="1E54FF0E">
      <w:pPr>
        <w:pStyle w:val="4"/>
        <w:spacing w:line="588" w:lineRule="exact"/>
        <w:ind w:firstLine="0" w:firstLineChars="0"/>
        <w:rPr>
          <w:rFonts w:ascii="Times New Roman" w:hAnsi="Times New Roman" w:cs="Times New Roman" w:eastAsiaTheme="minorEastAsia"/>
          <w:color w:val="000000" w:themeColor="text1"/>
          <w14:textFill>
            <w14:solidFill>
              <w14:schemeClr w14:val="tx1"/>
            </w14:solidFill>
          </w14:textFill>
        </w:rPr>
      </w:pPr>
      <w:bookmarkStart w:id="193" w:name="_Toc98251039"/>
      <w:bookmarkStart w:id="194" w:name="_Toc186533304"/>
      <w:bookmarkStart w:id="195" w:name="_Toc98250157"/>
      <w:r>
        <w:rPr>
          <w:rFonts w:ascii="Times New Roman" w:hAnsi="Times New Roman" w:cs="Times New Roman" w:eastAsiaTheme="minorEastAsia"/>
          <w:color w:val="000000" w:themeColor="text1"/>
          <w14:textFill>
            <w14:solidFill>
              <w14:schemeClr w14:val="tx1"/>
            </w14:solidFill>
          </w14:textFill>
        </w:rPr>
        <w:t>5.3.13  母线槽</w:t>
      </w:r>
      <w:bookmarkEnd w:id="193"/>
      <w:bookmarkEnd w:id="194"/>
      <w:bookmarkEnd w:id="195"/>
    </w:p>
    <w:p w14:paraId="7BB5975C">
      <w:pPr>
        <w:spacing w:line="588" w:lineRule="exact"/>
        <w:ind w:firstLine="560"/>
        <w:rPr>
          <w:rFonts w:cs="Times New Roman" w:eastAsiaTheme="minorEastAsia"/>
          <w:color w:val="000000" w:themeColor="text1"/>
          <w:szCs w:val="30"/>
          <w14:textFill>
            <w14:solidFill>
              <w14:schemeClr w14:val="tx1"/>
            </w14:solidFill>
          </w14:textFill>
        </w:rPr>
      </w:pPr>
      <w:r>
        <w:rPr>
          <w:rFonts w:cs="Times New Roman" w:eastAsiaTheme="minorEastAsia"/>
          <w:color w:val="000000" w:themeColor="text1"/>
          <w:szCs w:val="30"/>
          <w14:textFill>
            <w14:solidFill>
              <w14:schemeClr w14:val="tx1"/>
            </w14:solidFill>
          </w14:textFill>
        </w:rPr>
        <w:t>主要材料（系统）：密集绝缘母线槽。</w:t>
      </w:r>
    </w:p>
    <w:p w14:paraId="36C792C8">
      <w:pPr>
        <w:spacing w:line="588" w:lineRule="exact"/>
        <w:ind w:firstLine="560"/>
        <w:rPr>
          <w:rFonts w:cs="Times New Roman" w:eastAsiaTheme="minorEastAsia"/>
          <w:color w:val="000000" w:themeColor="text1"/>
          <w:szCs w:val="30"/>
          <w14:textFill>
            <w14:solidFill>
              <w14:schemeClr w14:val="tx1"/>
            </w14:solidFill>
          </w14:textFill>
        </w:rPr>
      </w:pPr>
      <w:r>
        <w:rPr>
          <w:rFonts w:cs="Times New Roman" w:eastAsiaTheme="minorEastAsia"/>
          <w:color w:val="000000" w:themeColor="text1"/>
          <w:szCs w:val="28"/>
          <w14:textFill>
            <w14:solidFill>
              <w14:schemeClr w14:val="tx1"/>
            </w14:solidFill>
          </w14:textFill>
        </w:rPr>
        <w:t>材料</w:t>
      </w:r>
      <w:r>
        <w:rPr>
          <w:rFonts w:cs="Times New Roman" w:eastAsiaTheme="minorEastAsia"/>
          <w:color w:val="000000" w:themeColor="text1"/>
          <w:szCs w:val="30"/>
          <w14:textFill>
            <w14:solidFill>
              <w14:schemeClr w14:val="tx1"/>
            </w14:solidFill>
          </w14:textFill>
        </w:rPr>
        <w:t>性能要求见表111：</w:t>
      </w:r>
    </w:p>
    <w:p w14:paraId="4C9B35A9">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14:paraId="610E5632">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p>
    <w:p w14:paraId="3212FBC4">
      <w:pPr>
        <w:pStyle w:val="6"/>
        <w:spacing w:line="588" w:lineRule="exact"/>
        <w:ind w:firstLine="0" w:firstLineChars="0"/>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表111</w:t>
      </w:r>
    </w:p>
    <w:tbl>
      <w:tblPr>
        <w:tblStyle w:val="20"/>
        <w:tblW w:w="8100"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0"/>
      </w:tblGrid>
      <w:tr w14:paraId="74447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8222" w:type="dxa"/>
            <w:shd w:val="clear" w:color="auto" w:fill="auto"/>
            <w:vAlign w:val="center"/>
          </w:tcPr>
          <w:p w14:paraId="61DF8876">
            <w:pPr>
              <w:widowControl/>
              <w:spacing w:line="240" w:lineRule="auto"/>
              <w:ind w:firstLine="0" w:firstLineChars="0"/>
              <w:jc w:val="center"/>
              <w:rPr>
                <w:rFonts w:cs="Times New Roman" w:eastAsiaTheme="minorEastAsia"/>
                <w:color w:val="000000" w:themeColor="text1"/>
                <w:kern w:val="0"/>
                <w:sz w:val="24"/>
                <w:szCs w:val="24"/>
                <w14:textFill>
                  <w14:solidFill>
                    <w14:schemeClr w14:val="tx1"/>
                  </w14:solidFill>
                </w14:textFill>
              </w:rPr>
            </w:pPr>
            <w:r>
              <w:rPr>
                <w:rFonts w:cs="Times New Roman" w:eastAsiaTheme="minorEastAsia"/>
                <w:color w:val="000000" w:themeColor="text1"/>
                <w:kern w:val="0"/>
                <w:sz w:val="24"/>
                <w:szCs w:val="24"/>
                <w14:textFill>
                  <w14:solidFill>
                    <w14:schemeClr w14:val="tx1"/>
                  </w14:solidFill>
                </w14:textFill>
              </w:rPr>
              <w:t>品质属性要求</w:t>
            </w:r>
          </w:p>
        </w:tc>
      </w:tr>
      <w:tr w14:paraId="467B2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8100" w:type="dxa"/>
            <w:shd w:val="clear" w:color="auto" w:fill="auto"/>
            <w:vAlign w:val="center"/>
          </w:tcPr>
          <w:p w14:paraId="7630556F">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1.具有防止火焰蔓延特性</w:t>
            </w:r>
          </w:p>
          <w:p w14:paraId="584998CC">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2.产品各部位的最高温升值低于相应温升限值至少5K</w:t>
            </w:r>
          </w:p>
          <w:p w14:paraId="2A8C06C8">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3.应能提供产品有效的功耗数据</w:t>
            </w:r>
          </w:p>
        </w:tc>
      </w:tr>
      <w:tr w14:paraId="191B6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trPr>
        <w:tc>
          <w:tcPr>
            <w:tcW w:w="8100" w:type="dxa"/>
            <w:shd w:val="clear" w:color="auto" w:fill="auto"/>
            <w:vAlign w:val="center"/>
          </w:tcPr>
          <w:p w14:paraId="118088B2">
            <w:pPr>
              <w:spacing w:line="240" w:lineRule="auto"/>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注：依据GB/T 7251.6。</w:t>
            </w:r>
          </w:p>
        </w:tc>
      </w:tr>
    </w:tbl>
    <w:p w14:paraId="083CF17E">
      <w:pPr>
        <w:ind w:firstLine="600"/>
        <w:rPr>
          <w:rFonts w:cs="Times New Roman" w:eastAsiaTheme="minorEastAsia"/>
          <w:color w:val="000000" w:themeColor="text1"/>
          <w:sz w:val="30"/>
          <w:szCs w:val="30"/>
          <w14:textFill>
            <w14:solidFill>
              <w14:schemeClr w14:val="tx1"/>
            </w14:solidFill>
          </w14:textFill>
        </w:rPr>
      </w:pPr>
    </w:p>
    <w:p w14:paraId="377DAE7E">
      <w:pPr>
        <w:ind w:firstLine="600"/>
        <w:rPr>
          <w:rFonts w:cs="Times New Roman" w:eastAsiaTheme="minorEastAsia"/>
          <w:color w:val="000000" w:themeColor="text1"/>
          <w:sz w:val="30"/>
          <w:szCs w:val="30"/>
          <w14:textFill>
            <w14:solidFill>
              <w14:schemeClr w14:val="tx1"/>
            </w14:solidFill>
          </w14:textFill>
        </w:rPr>
      </w:pPr>
      <w:r>
        <w:rPr>
          <w:rFonts w:cs="Times New Roman" w:eastAsiaTheme="minorEastAsia"/>
          <w:color w:val="000000" w:themeColor="text1"/>
          <w:sz w:val="30"/>
          <w:szCs w:val="30"/>
          <w14:textFill>
            <w14:solidFill>
              <w14:schemeClr w14:val="tx1"/>
            </w14:solidFill>
          </w14:textFill>
        </w:rPr>
        <w:br w:type="page"/>
      </w:r>
    </w:p>
    <w:bookmarkEnd w:id="188"/>
    <w:p w14:paraId="35408A63">
      <w:pPr>
        <w:pStyle w:val="2"/>
        <w:spacing w:before="156" w:after="156" w:line="568" w:lineRule="exact"/>
        <w:rPr>
          <w:rFonts w:cs="Times New Roman" w:eastAsiaTheme="minorEastAsia"/>
          <w:color w:val="000000" w:themeColor="text1"/>
          <w:sz w:val="30"/>
          <w:szCs w:val="30"/>
          <w14:textFill>
            <w14:solidFill>
              <w14:schemeClr w14:val="tx1"/>
            </w14:solidFill>
          </w14:textFill>
        </w:rPr>
      </w:pPr>
      <w:bookmarkStart w:id="196" w:name="_Toc185325274"/>
      <w:bookmarkStart w:id="197" w:name="_Toc186533305"/>
      <w:bookmarkStart w:id="198" w:name="_Toc98250159"/>
      <w:r>
        <w:rPr>
          <w:rFonts w:cs="Times New Roman" w:eastAsiaTheme="minorEastAsia"/>
          <w:color w:val="000000" w:themeColor="text1"/>
          <w:sz w:val="30"/>
          <w:szCs w:val="30"/>
          <w14:textFill>
            <w14:solidFill>
              <w14:schemeClr w14:val="tx1"/>
            </w14:solidFill>
          </w14:textFill>
        </w:rPr>
        <w:t>附录A</w:t>
      </w:r>
      <w:bookmarkEnd w:id="196"/>
      <w:bookmarkEnd w:id="197"/>
    </w:p>
    <w:p w14:paraId="7791C9FC">
      <w:pPr>
        <w:spacing w:before="156" w:beforeLines="50" w:after="156" w:afterLines="50" w:line="568" w:lineRule="exact"/>
        <w:ind w:firstLine="0" w:firstLineChars="0"/>
        <w:jc w:val="center"/>
        <w:rPr>
          <w:rFonts w:eastAsia="黑体" w:cs="Times New Roman"/>
          <w:color w:val="000000" w:themeColor="text1"/>
          <w:sz w:val="21"/>
          <w:szCs w:val="21"/>
          <w14:textFill>
            <w14:solidFill>
              <w14:schemeClr w14:val="tx1"/>
            </w14:solidFill>
          </w14:textFill>
        </w:rPr>
      </w:pPr>
      <w:r>
        <w:rPr>
          <w:rFonts w:eastAsia="黑体" w:cs="Times New Roman"/>
          <w:color w:val="000000" w:themeColor="text1"/>
          <w:sz w:val="21"/>
          <w:szCs w:val="21"/>
          <w14:textFill>
            <w14:solidFill>
              <w14:schemeClr w14:val="tx1"/>
            </w14:solidFill>
          </w14:textFill>
        </w:rPr>
        <w:t>表A 禁止使用的产品目录</w:t>
      </w:r>
    </w:p>
    <w:tbl>
      <w:tblPr>
        <w:tblStyle w:val="21"/>
        <w:tblW w:w="8100" w:type="dxa"/>
        <w:tblInd w:w="1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5"/>
        <w:gridCol w:w="7245"/>
      </w:tblGrid>
      <w:tr w14:paraId="041F75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 w:hRule="atLeast"/>
        </w:trPr>
        <w:tc>
          <w:tcPr>
            <w:tcW w:w="855" w:type="dxa"/>
            <w:vAlign w:val="center"/>
          </w:tcPr>
          <w:p w14:paraId="7AD7F0B6">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序号</w:t>
            </w:r>
          </w:p>
        </w:tc>
        <w:tc>
          <w:tcPr>
            <w:tcW w:w="7245" w:type="dxa"/>
            <w:vAlign w:val="center"/>
          </w:tcPr>
          <w:p w14:paraId="257EE25E">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产品名称</w:t>
            </w:r>
          </w:p>
        </w:tc>
      </w:tr>
      <w:tr w14:paraId="3C93BD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14:paraId="3BF8F62F">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1</w:t>
            </w:r>
          </w:p>
        </w:tc>
        <w:tc>
          <w:tcPr>
            <w:tcW w:w="7245" w:type="dxa"/>
            <w:vAlign w:val="center"/>
          </w:tcPr>
          <w:p w14:paraId="46C4A309">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使用非耐碱玻纤或非低碱水泥生产的玻纤增强水泥（GRC）空心条板</w:t>
            </w:r>
          </w:p>
        </w:tc>
      </w:tr>
      <w:tr w14:paraId="73247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14:paraId="5E1057AE">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w:t>
            </w:r>
          </w:p>
        </w:tc>
        <w:tc>
          <w:tcPr>
            <w:tcW w:w="7245" w:type="dxa"/>
            <w:vAlign w:val="center"/>
          </w:tcPr>
          <w:p w14:paraId="78D01A93">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陶土坩埚拉丝玻璃纤维和制品及其增强塑料（玻璃钢）制品</w:t>
            </w:r>
          </w:p>
        </w:tc>
      </w:tr>
      <w:tr w14:paraId="4FE878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14:paraId="48514287">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3</w:t>
            </w:r>
          </w:p>
        </w:tc>
        <w:tc>
          <w:tcPr>
            <w:tcW w:w="7245" w:type="dxa"/>
            <w:vAlign w:val="center"/>
          </w:tcPr>
          <w:p w14:paraId="00A111F6">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25A空腹钢窗</w:t>
            </w:r>
          </w:p>
        </w:tc>
      </w:tr>
      <w:tr w14:paraId="73CB0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14:paraId="011C7D53">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4</w:t>
            </w:r>
          </w:p>
        </w:tc>
        <w:tc>
          <w:tcPr>
            <w:tcW w:w="7245" w:type="dxa"/>
            <w:vAlign w:val="center"/>
          </w:tcPr>
          <w:p w14:paraId="228CC2B2">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一次冲洗最大用水量8升以上的坐便器</w:t>
            </w:r>
          </w:p>
        </w:tc>
      </w:tr>
      <w:tr w14:paraId="050232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14:paraId="402284C5">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5</w:t>
            </w:r>
          </w:p>
        </w:tc>
        <w:tc>
          <w:tcPr>
            <w:tcW w:w="7245" w:type="dxa"/>
            <w:vAlign w:val="center"/>
          </w:tcPr>
          <w:p w14:paraId="3D32770A">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角闪石石棉（即蓝石棉）</w:t>
            </w:r>
          </w:p>
        </w:tc>
      </w:tr>
      <w:tr w14:paraId="7B474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5" w:type="dxa"/>
            <w:vAlign w:val="center"/>
          </w:tcPr>
          <w:p w14:paraId="5A467F9C">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6</w:t>
            </w:r>
          </w:p>
        </w:tc>
        <w:tc>
          <w:tcPr>
            <w:tcW w:w="7245" w:type="dxa"/>
            <w:vAlign w:val="center"/>
          </w:tcPr>
          <w:p w14:paraId="608D22A5">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非机械生产的中空玻璃、双层双框各类门窗及单腔结构型的塑料门窗</w:t>
            </w:r>
          </w:p>
        </w:tc>
      </w:tr>
      <w:tr w14:paraId="6A883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0" w:hRule="atLeast"/>
        </w:trPr>
        <w:tc>
          <w:tcPr>
            <w:tcW w:w="855" w:type="dxa"/>
            <w:vAlign w:val="center"/>
          </w:tcPr>
          <w:p w14:paraId="22CFA1B0">
            <w:pPr>
              <w:widowControl/>
              <w:spacing w:line="400" w:lineRule="exact"/>
              <w:ind w:firstLine="0" w:firstLineChars="0"/>
              <w:jc w:val="center"/>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7</w:t>
            </w:r>
          </w:p>
        </w:tc>
        <w:tc>
          <w:tcPr>
            <w:tcW w:w="7245" w:type="dxa"/>
            <w:vAlign w:val="center"/>
          </w:tcPr>
          <w:p w14:paraId="1E4FAC90">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采用二次加热复合成型工艺生产的聚乙烯丙纶类复合防水卷材、聚乙烯丙纶复合防水卷材（聚乙烯芯材厚度在0.5mm以下）；棉涤玻纤（高碱）网格复合胎基材料、聚氯乙烯防水卷材（S型）</w:t>
            </w:r>
          </w:p>
        </w:tc>
      </w:tr>
      <w:tr w14:paraId="0F3604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00" w:type="dxa"/>
            <w:gridSpan w:val="2"/>
            <w:vAlign w:val="center"/>
          </w:tcPr>
          <w:p w14:paraId="29A5612A">
            <w:pPr>
              <w:widowControl/>
              <w:spacing w:line="400" w:lineRule="exact"/>
              <w:ind w:firstLine="0" w:firstLineChars="0"/>
              <w:jc w:val="left"/>
              <w:rPr>
                <w:rFonts w:ascii="Times New Roman" w:cs="Times New Roman" w:eastAsiaTheme="minorEastAsia"/>
                <w:color w:val="000000" w:themeColor="text1"/>
                <w:sz w:val="24"/>
                <w:szCs w:val="24"/>
                <w14:textFill>
                  <w14:solidFill>
                    <w14:schemeClr w14:val="tx1"/>
                  </w14:solidFill>
                </w14:textFill>
              </w:rPr>
            </w:pPr>
            <w:r>
              <w:rPr>
                <w:rFonts w:ascii="Times New Roman" w:cs="Times New Roman" w:eastAsiaTheme="minorEastAsia"/>
                <w:color w:val="000000" w:themeColor="text1"/>
                <w:sz w:val="24"/>
                <w:szCs w:val="24"/>
                <w14:textFill>
                  <w14:solidFill>
                    <w14:schemeClr w14:val="tx1"/>
                  </w14:solidFill>
                </w14:textFill>
              </w:rPr>
              <w:t>注：禁止使用的产品目录取自国家发展改革委《产业结构调整指导目录（2024年本）》，实施过程中如有更新以最新版本为准。</w:t>
            </w:r>
          </w:p>
        </w:tc>
      </w:tr>
    </w:tbl>
    <w:p w14:paraId="39832B4C">
      <w:pPr>
        <w:widowControl/>
        <w:spacing w:line="240" w:lineRule="auto"/>
        <w:ind w:firstLine="0" w:firstLineChars="0"/>
        <w:jc w:val="left"/>
        <w:rPr>
          <w:rFonts w:cs="Times New Roman" w:eastAsiaTheme="minorEastAsia"/>
          <w:color w:val="000000" w:themeColor="text1"/>
          <w14:textFill>
            <w14:solidFill>
              <w14:schemeClr w14:val="tx1"/>
            </w14:solidFill>
          </w14:textFill>
        </w:rPr>
      </w:pPr>
    </w:p>
    <w:p w14:paraId="28A13F4B">
      <w:pPr>
        <w:widowControl/>
        <w:spacing w:line="240" w:lineRule="auto"/>
        <w:ind w:firstLine="0" w:firstLineChars="0"/>
        <w:jc w:val="left"/>
        <w:rPr>
          <w:rFonts w:cs="Times New Roman" w:eastAsiaTheme="minorEastAsia"/>
          <w:color w:val="000000" w:themeColor="text1"/>
          <w14:textFill>
            <w14:solidFill>
              <w14:schemeClr w14:val="tx1"/>
            </w14:solidFill>
          </w14:textFill>
        </w:rPr>
      </w:pPr>
      <w:r>
        <w:rPr>
          <w:rFonts w:cs="Times New Roman" w:eastAsiaTheme="minorEastAsia"/>
          <w:color w:val="000000" w:themeColor="text1"/>
          <w14:textFill>
            <w14:solidFill>
              <w14:schemeClr w14:val="tx1"/>
            </w14:solidFill>
          </w14:textFill>
        </w:rPr>
        <w:br w:type="page"/>
      </w:r>
    </w:p>
    <w:p w14:paraId="572C19B0">
      <w:pPr>
        <w:pStyle w:val="2"/>
        <w:spacing w:before="156" w:after="156" w:line="568" w:lineRule="exact"/>
        <w:rPr>
          <w:rFonts w:cs="Times New Roman" w:eastAsiaTheme="minorEastAsia"/>
          <w:color w:val="000000" w:themeColor="text1"/>
          <w:sz w:val="30"/>
          <w:szCs w:val="30"/>
          <w14:textFill>
            <w14:solidFill>
              <w14:schemeClr w14:val="tx1"/>
            </w14:solidFill>
          </w14:textFill>
        </w:rPr>
      </w:pPr>
      <w:bookmarkStart w:id="199" w:name="_Toc186533306"/>
      <w:bookmarkStart w:id="200" w:name="_Toc185325275"/>
      <w:r>
        <w:rPr>
          <w:rFonts w:cs="Times New Roman" w:eastAsiaTheme="minorEastAsia"/>
          <w:color w:val="000000" w:themeColor="text1"/>
          <w:sz w:val="30"/>
          <w:szCs w:val="30"/>
          <w14:textFill>
            <w14:solidFill>
              <w14:schemeClr w14:val="tx1"/>
            </w14:solidFill>
          </w14:textFill>
        </w:rPr>
        <w:t>附录B</w:t>
      </w:r>
      <w:bookmarkEnd w:id="199"/>
      <w:bookmarkEnd w:id="200"/>
    </w:p>
    <w:p w14:paraId="566CE415">
      <w:pPr>
        <w:spacing w:before="156" w:beforeLines="50" w:after="156" w:afterLines="50" w:line="568"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eastAsia="黑体" w:cs="Times New Roman"/>
          <w:color w:val="000000" w:themeColor="text1"/>
          <w:sz w:val="21"/>
          <w:szCs w:val="21"/>
          <w14:textFill>
            <w14:solidFill>
              <w14:schemeClr w14:val="tx1"/>
            </w14:solidFill>
          </w14:textFill>
        </w:rPr>
        <w:t>表B 防水材料中不得添加的有害物质</w:t>
      </w:r>
    </w:p>
    <w:tbl>
      <w:tblPr>
        <w:tblStyle w:val="20"/>
        <w:tblW w:w="816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417"/>
        <w:gridCol w:w="6007"/>
      </w:tblGrid>
      <w:tr w14:paraId="26E60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738" w:type="dxa"/>
            <w:vAlign w:val="center"/>
          </w:tcPr>
          <w:p w14:paraId="4FEC17DA">
            <w:pPr>
              <w:widowControl/>
              <w:spacing w:line="400" w:lineRule="exact"/>
              <w:ind w:firstLine="0" w:firstLineChars="0"/>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序号</w:t>
            </w:r>
          </w:p>
        </w:tc>
        <w:tc>
          <w:tcPr>
            <w:tcW w:w="1417" w:type="dxa"/>
            <w:vAlign w:val="center"/>
          </w:tcPr>
          <w:p w14:paraId="1B74B96A">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类别</w:t>
            </w:r>
          </w:p>
        </w:tc>
        <w:tc>
          <w:tcPr>
            <w:tcW w:w="6007" w:type="dxa"/>
            <w:vAlign w:val="center"/>
          </w:tcPr>
          <w:p w14:paraId="4A11C94B">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品种说明</w:t>
            </w:r>
          </w:p>
        </w:tc>
      </w:tr>
      <w:tr w14:paraId="129FD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680C0149">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w:t>
            </w:r>
          </w:p>
        </w:tc>
        <w:tc>
          <w:tcPr>
            <w:tcW w:w="1417" w:type="dxa"/>
            <w:vAlign w:val="center"/>
          </w:tcPr>
          <w:p w14:paraId="38B67161">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苯</w:t>
            </w:r>
          </w:p>
        </w:tc>
        <w:tc>
          <w:tcPr>
            <w:tcW w:w="6007" w:type="dxa"/>
            <w:vAlign w:val="center"/>
          </w:tcPr>
          <w:p w14:paraId="1F0E4507">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w:t>
            </w:r>
          </w:p>
        </w:tc>
      </w:tr>
      <w:tr w14:paraId="6116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2B73300A">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2</w:t>
            </w:r>
          </w:p>
        </w:tc>
        <w:tc>
          <w:tcPr>
            <w:tcW w:w="1417" w:type="dxa"/>
            <w:vAlign w:val="center"/>
          </w:tcPr>
          <w:p w14:paraId="6CB2A1DE">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乙二醇醚及其酯类</w:t>
            </w:r>
          </w:p>
        </w:tc>
        <w:tc>
          <w:tcPr>
            <w:tcW w:w="6007" w:type="dxa"/>
            <w:vAlign w:val="center"/>
          </w:tcPr>
          <w:p w14:paraId="0E76D2C8">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乙二醇甲醚、乙二醇甲醚醋酸酯、乙二醇乙醚、乙二醇乙醚醋酸酯、二乙二醇丁醚醋酸酯</w:t>
            </w:r>
          </w:p>
        </w:tc>
      </w:tr>
      <w:tr w14:paraId="1025B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5E880D1E">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w:t>
            </w:r>
          </w:p>
        </w:tc>
        <w:tc>
          <w:tcPr>
            <w:tcW w:w="1417" w:type="dxa"/>
            <w:vAlign w:val="center"/>
          </w:tcPr>
          <w:p w14:paraId="087ED83A">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二元胺</w:t>
            </w:r>
          </w:p>
        </w:tc>
        <w:tc>
          <w:tcPr>
            <w:tcW w:w="6007" w:type="dxa"/>
            <w:vAlign w:val="center"/>
          </w:tcPr>
          <w:p w14:paraId="740DD5A6">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乙二胺、丙二胺、丁二胺、已二胺</w:t>
            </w:r>
          </w:p>
        </w:tc>
      </w:tr>
      <w:tr w14:paraId="64D9E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5F436836">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4</w:t>
            </w:r>
          </w:p>
        </w:tc>
        <w:tc>
          <w:tcPr>
            <w:tcW w:w="1417" w:type="dxa"/>
            <w:vAlign w:val="center"/>
          </w:tcPr>
          <w:p w14:paraId="507756C1">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有机溶剂</w:t>
            </w:r>
          </w:p>
        </w:tc>
        <w:tc>
          <w:tcPr>
            <w:tcW w:w="6007" w:type="dxa"/>
            <w:vAlign w:val="center"/>
          </w:tcPr>
          <w:p w14:paraId="76595154">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二氯甲烷、二氯乙烷、三氯甲烷、三氯乙烷、三氯丙烷、三氯乙烯、四氯化碳、正己烷、溴丙烷、溴丁烷</w:t>
            </w:r>
          </w:p>
        </w:tc>
      </w:tr>
      <w:tr w14:paraId="04C80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25699199">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5</w:t>
            </w:r>
          </w:p>
        </w:tc>
        <w:tc>
          <w:tcPr>
            <w:tcW w:w="1417" w:type="dxa"/>
            <w:vAlign w:val="center"/>
          </w:tcPr>
          <w:p w14:paraId="45A34629">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酮类</w:t>
            </w:r>
          </w:p>
        </w:tc>
        <w:tc>
          <w:tcPr>
            <w:tcW w:w="6007" w:type="dxa"/>
            <w:vAlign w:val="center"/>
          </w:tcPr>
          <w:p w14:paraId="2BA846D5">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3,5,5-三甲基-2-环己烯基-1-酮（异佛尔酮）</w:t>
            </w:r>
          </w:p>
        </w:tc>
      </w:tr>
      <w:tr w14:paraId="18F42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6F73B92A">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6</w:t>
            </w:r>
          </w:p>
        </w:tc>
        <w:tc>
          <w:tcPr>
            <w:tcW w:w="1417" w:type="dxa"/>
            <w:vAlign w:val="center"/>
          </w:tcPr>
          <w:p w14:paraId="2B7BE89D">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持续性有机污染物</w:t>
            </w:r>
          </w:p>
        </w:tc>
        <w:tc>
          <w:tcPr>
            <w:tcW w:w="6007" w:type="dxa"/>
            <w:vAlign w:val="center"/>
          </w:tcPr>
          <w:p w14:paraId="486D1D55">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多溴联苯（PBB）、多溴联苯醚（PBDE）</w:t>
            </w:r>
          </w:p>
        </w:tc>
      </w:tr>
      <w:tr w14:paraId="2CFD3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050FFA64">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7</w:t>
            </w:r>
          </w:p>
        </w:tc>
        <w:tc>
          <w:tcPr>
            <w:tcW w:w="1417" w:type="dxa"/>
            <w:vAlign w:val="center"/>
          </w:tcPr>
          <w:p w14:paraId="184312A8">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消耗臭氧层物质</w:t>
            </w:r>
          </w:p>
        </w:tc>
        <w:tc>
          <w:tcPr>
            <w:tcW w:w="6007" w:type="dxa"/>
            <w:vAlign w:val="center"/>
          </w:tcPr>
          <w:p w14:paraId="47AD1B31">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《中国受控消耗臭氧层物质清单》列举的消耗臭氧层物质</w:t>
            </w:r>
          </w:p>
        </w:tc>
      </w:tr>
      <w:tr w14:paraId="371ED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73B8751C">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8</w:t>
            </w:r>
          </w:p>
        </w:tc>
        <w:tc>
          <w:tcPr>
            <w:tcW w:w="1417" w:type="dxa"/>
            <w:vAlign w:val="center"/>
          </w:tcPr>
          <w:p w14:paraId="47BCAB08">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邻苯二甲酸酯类</w:t>
            </w:r>
          </w:p>
        </w:tc>
        <w:tc>
          <w:tcPr>
            <w:tcW w:w="6007" w:type="dxa"/>
            <w:vAlign w:val="center"/>
          </w:tcPr>
          <w:p w14:paraId="50B4F1D8">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邻苯二甲酸二（2-乙基己）酯(DEHP)、邻苯二甲酸二正丁酯(DBP)、邻苯二甲酸丁苄酯(BBP)、邻苯二甲酸二异辛酯(DIOP)、邻苯二甲酸二正辛酯(DNOP)</w:t>
            </w:r>
          </w:p>
        </w:tc>
      </w:tr>
      <w:tr w14:paraId="1F1DF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7DD50E8A">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9</w:t>
            </w:r>
          </w:p>
        </w:tc>
        <w:tc>
          <w:tcPr>
            <w:tcW w:w="1417" w:type="dxa"/>
            <w:vAlign w:val="center"/>
          </w:tcPr>
          <w:p w14:paraId="66F43350">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表面活性剂</w:t>
            </w:r>
          </w:p>
        </w:tc>
        <w:tc>
          <w:tcPr>
            <w:tcW w:w="6007" w:type="dxa"/>
            <w:vAlign w:val="center"/>
          </w:tcPr>
          <w:p w14:paraId="4BBBCD80">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烷基酚聚氧乙烯醚（APEO）、支链十二烷基苯磺酸钠（ABS）、壬基酚、壬基酚聚氧乙烯醚（NPEO）、辛基酚、辛基酚聚氧乙烯醚(OPEO)</w:t>
            </w:r>
          </w:p>
        </w:tc>
      </w:tr>
      <w:tr w14:paraId="7C828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73A425BE">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10</w:t>
            </w:r>
          </w:p>
        </w:tc>
        <w:tc>
          <w:tcPr>
            <w:tcW w:w="1417" w:type="dxa"/>
            <w:vAlign w:val="center"/>
          </w:tcPr>
          <w:p w14:paraId="30B55138">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多氯萘</w:t>
            </w:r>
          </w:p>
        </w:tc>
        <w:tc>
          <w:tcPr>
            <w:tcW w:w="6007" w:type="dxa"/>
            <w:vAlign w:val="center"/>
          </w:tcPr>
          <w:p w14:paraId="392EF78D">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是指一类基于萘环上的氢原子被氯原子所取代的化合物的总称，共有 75 种同类物</w:t>
            </w:r>
          </w:p>
        </w:tc>
      </w:tr>
      <w:tr w14:paraId="51045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10A07CBC">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11</w:t>
            </w:r>
          </w:p>
        </w:tc>
        <w:tc>
          <w:tcPr>
            <w:tcW w:w="1417" w:type="dxa"/>
            <w:vAlign w:val="center"/>
          </w:tcPr>
          <w:p w14:paraId="7563CB20">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多氯联苯</w:t>
            </w:r>
          </w:p>
        </w:tc>
        <w:tc>
          <w:tcPr>
            <w:tcW w:w="6007" w:type="dxa"/>
            <w:vAlign w:val="center"/>
          </w:tcPr>
          <w:p w14:paraId="067958FB">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 xml:space="preserve">三氯联苯(PBC3)、四氯联苯(PBC4)、五氯联苯(PBC5)、六氯联苯(PBC6)、七氯联苯(PBC7)、八氯联苯(PBC8)、九氯联苯(PBC9)、十氯联苯(PBC10)  </w:t>
            </w:r>
          </w:p>
        </w:tc>
      </w:tr>
      <w:tr w14:paraId="6B20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Align w:val="center"/>
          </w:tcPr>
          <w:p w14:paraId="292924D8">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12</w:t>
            </w:r>
          </w:p>
        </w:tc>
        <w:tc>
          <w:tcPr>
            <w:tcW w:w="1417" w:type="dxa"/>
            <w:vAlign w:val="center"/>
          </w:tcPr>
          <w:p w14:paraId="251DAB5E">
            <w:pPr>
              <w:widowControl/>
              <w:spacing w:line="400" w:lineRule="exact"/>
              <w:ind w:firstLine="0" w:firstLineChars="0"/>
              <w:jc w:val="center"/>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全氟烷基化合物</w:t>
            </w:r>
          </w:p>
        </w:tc>
        <w:tc>
          <w:tcPr>
            <w:tcW w:w="6007" w:type="dxa"/>
            <w:vAlign w:val="center"/>
          </w:tcPr>
          <w:p w14:paraId="55509F3B">
            <w:pPr>
              <w:widowControl/>
              <w:spacing w:line="400" w:lineRule="exact"/>
              <w:ind w:firstLine="0" w:firstLineChars="0"/>
              <w:jc w:val="left"/>
              <w:rPr>
                <w:rFonts w:cs="Times New Roman" w:eastAsiaTheme="minorEastAsia"/>
                <w:color w:val="000000" w:themeColor="text1"/>
                <w:sz w:val="24"/>
                <w:szCs w:val="24"/>
                <w14:textFill>
                  <w14:solidFill>
                    <w14:schemeClr w14:val="tx1"/>
                  </w14:solidFill>
                </w14:textFill>
              </w:rPr>
            </w:pPr>
            <w:r>
              <w:rPr>
                <w:rFonts w:cs="Times New Roman" w:eastAsiaTheme="minorEastAsia"/>
                <w:color w:val="000000" w:themeColor="text1"/>
                <w:sz w:val="24"/>
                <w:szCs w:val="24"/>
                <w14:textFill>
                  <w14:solidFill>
                    <w14:schemeClr w14:val="tx1"/>
                  </w14:solidFill>
                </w14:textFill>
              </w:rPr>
              <w:t>全氟己酸、全氟辛酸、全氟壬酸、全氟癸酸、全氟十一酸</w:t>
            </w:r>
          </w:p>
        </w:tc>
      </w:tr>
      <w:bookmarkEnd w:id="198"/>
    </w:tbl>
    <w:p w14:paraId="5A0524EC">
      <w:pPr>
        <w:spacing w:before="156" w:beforeLines="50" w:after="156" w:afterLines="50" w:line="568" w:lineRule="exact"/>
        <w:ind w:firstLine="0" w:firstLineChars="0"/>
        <w:rPr>
          <w:rFonts w:cs="Times New Roman" w:eastAsiaTheme="minorEastAsia"/>
          <w:color w:val="000000" w:themeColor="text1"/>
          <w14:textFill>
            <w14:solidFill>
              <w14:schemeClr w14:val="tx1"/>
            </w14:solidFill>
          </w14:textFill>
        </w:rPr>
      </w:pPr>
    </w:p>
    <w:sectPr>
      <w:headerReference r:id="rId17" w:type="first"/>
      <w:headerReference r:id="rId15" w:type="default"/>
      <w:footerReference r:id="rId18" w:type="default"/>
      <w:headerReference r:id="rId16" w:type="even"/>
      <w:pgSz w:w="11906" w:h="16838"/>
      <w:pgMar w:top="1701" w:right="1871" w:bottom="1701" w:left="1871"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049CD47-24A9-457C-BA09-8466048BDF3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2" w:fontKey="{E95C5A19-79CC-4331-91F1-0E5B6697E471}"/>
  </w:font>
  <w:font w:name="Wingdings 2">
    <w:panose1 w:val="05020102010507070707"/>
    <w:charset w:val="02"/>
    <w:family w:val="roman"/>
    <w:pitch w:val="default"/>
    <w:sig w:usb0="00000000" w:usb1="00000000" w:usb2="00000000" w:usb3="00000000" w:csb0="80000000" w:csb1="00000000"/>
    <w:embedRegular r:id="rId3" w:fontKey="{A7B91A1D-939B-4196-BA01-7AFD2CED134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A8BFA">
    <w:pPr>
      <w:pStyle w:val="14"/>
      <w:tabs>
        <w:tab w:val="center" w:pos="4082"/>
        <w:tab w:val="clear" w:pos="4153"/>
      </w:tabs>
      <w:ind w:firstLine="360"/>
      <w:jc w:val="both"/>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34BC9">
    <w:pPr>
      <w:pStyle w:val="14"/>
      <w:ind w:firstLine="360"/>
    </w:pPr>
  </w:p>
  <w:p w14:paraId="0C4AF815">
    <w:pPr>
      <w:ind w:firstLine="560"/>
    </w:pPr>
  </w:p>
  <w:p w14:paraId="3893A341">
    <w:pPr>
      <w:ind w:firstLine="5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A38E6">
    <w:pPr>
      <w:pStyle w:val="14"/>
      <w:ind w:firstLine="360"/>
    </w:pPr>
  </w:p>
  <w:p w14:paraId="1B1FB6B7">
    <w:pPr>
      <w:ind w:firstLine="560"/>
    </w:pPr>
  </w:p>
  <w:p w14:paraId="6D7D1AD8">
    <w:pPr>
      <w:ind w:firstLine="5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36BED">
    <w:pPr>
      <w:pStyle w:val="14"/>
      <w:tabs>
        <w:tab w:val="center" w:pos="4082"/>
        <w:tab w:val="clear" w:pos="4153"/>
      </w:tabs>
      <w:ind w:firstLine="360"/>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904110145"/>
                          </w:sdtPr>
                          <w:sdtContent>
                            <w:p w14:paraId="433062DA">
                              <w:pPr>
                                <w:pStyle w:val="14"/>
                                <w:ind w:firstLine="360"/>
                                <w:jc w:val="center"/>
                              </w:pPr>
                              <w:r>
                                <w:fldChar w:fldCharType="begin"/>
                              </w:r>
                              <w:r>
                                <w:instrText xml:space="preserve">PAGE   \* MERGEFORMAT</w:instrText>
                              </w:r>
                              <w:r>
                                <w:fldChar w:fldCharType="separate"/>
                              </w:r>
                              <w:r>
                                <w:rPr>
                                  <w:lang w:val="zh-CN"/>
                                </w:rPr>
                                <w:t>4</w:t>
                              </w:r>
                              <w:r>
                                <w:fldChar w:fldCharType="end"/>
                              </w:r>
                            </w:p>
                          </w:sdtContent>
                        </w:sdt>
                        <w:p w14:paraId="5F1F5BF4">
                          <w:pPr>
                            <w:ind w:firstLine="5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904110145"/>
                    </w:sdtPr>
                    <w:sdtContent>
                      <w:p w14:paraId="433062DA">
                        <w:pPr>
                          <w:pStyle w:val="14"/>
                          <w:ind w:firstLine="360"/>
                          <w:jc w:val="center"/>
                        </w:pPr>
                        <w:r>
                          <w:fldChar w:fldCharType="begin"/>
                        </w:r>
                        <w:r>
                          <w:instrText xml:space="preserve">PAGE   \* MERGEFORMAT</w:instrText>
                        </w:r>
                        <w:r>
                          <w:fldChar w:fldCharType="separate"/>
                        </w:r>
                        <w:r>
                          <w:rPr>
                            <w:lang w:val="zh-CN"/>
                          </w:rPr>
                          <w:t>4</w:t>
                        </w:r>
                        <w:r>
                          <w:fldChar w:fldCharType="end"/>
                        </w:r>
                      </w:p>
                    </w:sdtContent>
                  </w:sdt>
                  <w:p w14:paraId="5F1F5BF4">
                    <w:pPr>
                      <w:ind w:firstLine="560"/>
                    </w:pP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0C31E">
    <w:pPr>
      <w:pStyle w:val="14"/>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D4D228">
                          <w:pPr>
                            <w:pStyle w:val="14"/>
                            <w:ind w:firstLine="360"/>
                            <w:jc w:val="center"/>
                          </w:pPr>
                          <w:r>
                            <w:fldChar w:fldCharType="begin"/>
                          </w:r>
                          <w:r>
                            <w:instrText xml:space="preserve">PAGE   \* MERGEFORMAT</w:instrText>
                          </w:r>
                          <w:r>
                            <w:fldChar w:fldCharType="separate"/>
                          </w:r>
                          <w:r>
                            <w:rPr>
                              <w:lang w:val="zh-CN"/>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0AD4D228">
                    <w:pPr>
                      <w:pStyle w:val="14"/>
                      <w:ind w:firstLine="360"/>
                      <w:jc w:val="center"/>
                    </w:pPr>
                    <w:r>
                      <w:fldChar w:fldCharType="begin"/>
                    </w:r>
                    <w:r>
                      <w:instrText xml:space="preserve">PAGE   \* MERGEFORMAT</w:instrText>
                    </w:r>
                    <w:r>
                      <w:fldChar w:fldCharType="separate"/>
                    </w:r>
                    <w:r>
                      <w:rPr>
                        <w:lang w:val="zh-CN"/>
                      </w:rP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FF363">
    <w:pPr>
      <w:pStyle w:val="15"/>
      <w:pBdr>
        <w:bottom w:val="none" w:color="auto" w:sz="0" w:space="0"/>
      </w:pBdr>
      <w:ind w:firstLine="360"/>
    </w:pPr>
  </w:p>
  <w:p w14:paraId="2C4B0ACA">
    <w:pPr>
      <w:ind w:firstLine="5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9CF48B">
    <w:pPr>
      <w:pStyle w:val="15"/>
      <w:ind w:firstLine="360"/>
    </w:pPr>
  </w:p>
  <w:p w14:paraId="2189325D">
    <w:pPr>
      <w:ind w:firstLine="560"/>
    </w:pPr>
  </w:p>
  <w:p w14:paraId="0F44BEBC">
    <w:pPr>
      <w:ind w:firstLine="5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55F4F">
    <w:pPr>
      <w:pStyle w:val="15"/>
      <w:ind w:firstLine="360"/>
    </w:pPr>
  </w:p>
  <w:p w14:paraId="69BF0453">
    <w:pPr>
      <w:ind w:firstLine="560"/>
    </w:pPr>
  </w:p>
  <w:p w14:paraId="6208A0F8">
    <w:pPr>
      <w:ind w:firstLine="5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2782C">
    <w:pPr>
      <w:pStyle w:val="15"/>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7033E">
    <w:pPr>
      <w:pStyle w:val="15"/>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52CD7">
    <w:pPr>
      <w:pStyle w:val="15"/>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2E174">
    <w:pPr>
      <w:pStyle w:val="15"/>
      <w:pBdr>
        <w:bottom w:val="none" w:color="auto" w:sz="0" w:space="0"/>
      </w:pBdr>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C56AA">
    <w:pPr>
      <w:pStyle w:val="15"/>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0B27D">
    <w:pPr>
      <w:pStyle w:val="1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2"/>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993"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EB8EBE"/>
    <w:multiLevelType w:val="multilevel"/>
    <w:tmpl w:val="2AEB8EBE"/>
    <w:lvl w:ilvl="0" w:tentative="0">
      <w:start w:val="1"/>
      <w:numFmt w:val="decimal"/>
      <w:lvlText w:val="%1"/>
      <w:lvlJc w:val="left"/>
      <w:pPr>
        <w:ind w:left="425" w:hanging="425"/>
      </w:pPr>
      <w:rPr>
        <w:rFonts w:hint="default" w:ascii="Times New Roman" w:hAnsi="Times New Roman" w:eastAsia="宋体" w:cs="Times New Roman"/>
      </w:rPr>
    </w:lvl>
    <w:lvl w:ilvl="1" w:tentative="0">
      <w:start w:val="4"/>
      <w:numFmt w:val="decimal"/>
      <w:pStyle w:val="3"/>
      <w:lvlText w:val="%1.%2"/>
      <w:lvlJc w:val="left"/>
      <w:pPr>
        <w:ind w:left="709" w:hanging="567"/>
      </w:pPr>
      <w:rPr>
        <w:rFonts w:hint="default" w:ascii="Times New Roman" w:hAnsi="Times New Roman" w:eastAsia="宋体" w:cs="Times New Roman"/>
      </w:rPr>
    </w:lvl>
    <w:lvl w:ilvl="2" w:tentative="0">
      <w:start w:val="1"/>
      <w:numFmt w:val="decimal"/>
      <w:lvlText w:val="%1.%2.%3"/>
      <w:lvlJc w:val="left"/>
      <w:pPr>
        <w:ind w:left="1844" w:hanging="709"/>
      </w:pPr>
      <w:rPr>
        <w:rFonts w:hint="default" w:ascii="Times New Roman" w:hAnsi="Times New Roman" w:eastAsia="宋体"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3E5BD5A2"/>
    <w:multiLevelType w:val="singleLevel"/>
    <w:tmpl w:val="3E5BD5A2"/>
    <w:lvl w:ilvl="0" w:tentative="0">
      <w:start w:val="1"/>
      <w:numFmt w:val="decimal"/>
      <w:lvlText w:val="%1."/>
      <w:lvlJc w:val="left"/>
      <w:pPr>
        <w:tabs>
          <w:tab w:val="left" w:pos="312"/>
        </w:tabs>
      </w:pPr>
    </w:lvl>
  </w:abstractNum>
  <w:abstractNum w:abstractNumId="3">
    <w:nsid w:val="657D3FBC"/>
    <w:multiLevelType w:val="multilevel"/>
    <w:tmpl w:val="657D3FBC"/>
    <w:lvl w:ilvl="0" w:tentative="0">
      <w:start w:val="1"/>
      <w:numFmt w:val="upperLetter"/>
      <w:pStyle w:val="3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TrueTypeFonts/>
  <w:saveSubsetFonts/>
  <w:bordersDoNotSurroundHeader w:val="1"/>
  <w:bordersDoNotSurroundFooter w:val="1"/>
  <w:hideSpellingError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242324"/>
    <w:rsid w:val="00000C84"/>
    <w:rsid w:val="00001897"/>
    <w:rsid w:val="000018B2"/>
    <w:rsid w:val="00004CDD"/>
    <w:rsid w:val="000059CC"/>
    <w:rsid w:val="00005C80"/>
    <w:rsid w:val="00005FDA"/>
    <w:rsid w:val="000066E8"/>
    <w:rsid w:val="000079AE"/>
    <w:rsid w:val="00010EFE"/>
    <w:rsid w:val="000129BB"/>
    <w:rsid w:val="00014F47"/>
    <w:rsid w:val="0001619B"/>
    <w:rsid w:val="000174A2"/>
    <w:rsid w:val="00020141"/>
    <w:rsid w:val="00021D95"/>
    <w:rsid w:val="00021DFB"/>
    <w:rsid w:val="00021EA6"/>
    <w:rsid w:val="00022F01"/>
    <w:rsid w:val="00022F04"/>
    <w:rsid w:val="00023CEB"/>
    <w:rsid w:val="0002438A"/>
    <w:rsid w:val="00024625"/>
    <w:rsid w:val="0002568F"/>
    <w:rsid w:val="00026338"/>
    <w:rsid w:val="0002698D"/>
    <w:rsid w:val="00030087"/>
    <w:rsid w:val="00031BD8"/>
    <w:rsid w:val="00031ECB"/>
    <w:rsid w:val="00033118"/>
    <w:rsid w:val="000345BF"/>
    <w:rsid w:val="0003460E"/>
    <w:rsid w:val="00034677"/>
    <w:rsid w:val="00034BD5"/>
    <w:rsid w:val="0003653B"/>
    <w:rsid w:val="000410E4"/>
    <w:rsid w:val="00041681"/>
    <w:rsid w:val="00041894"/>
    <w:rsid w:val="0004318E"/>
    <w:rsid w:val="00043E81"/>
    <w:rsid w:val="00044114"/>
    <w:rsid w:val="000441CA"/>
    <w:rsid w:val="00044259"/>
    <w:rsid w:val="00044946"/>
    <w:rsid w:val="000453A1"/>
    <w:rsid w:val="000453A5"/>
    <w:rsid w:val="000464CE"/>
    <w:rsid w:val="00046679"/>
    <w:rsid w:val="00047E38"/>
    <w:rsid w:val="00047F80"/>
    <w:rsid w:val="00050E42"/>
    <w:rsid w:val="000510BD"/>
    <w:rsid w:val="00051926"/>
    <w:rsid w:val="00052757"/>
    <w:rsid w:val="00052A8E"/>
    <w:rsid w:val="00052E4A"/>
    <w:rsid w:val="0005369D"/>
    <w:rsid w:val="000539F1"/>
    <w:rsid w:val="00053D61"/>
    <w:rsid w:val="00053E20"/>
    <w:rsid w:val="000550D9"/>
    <w:rsid w:val="000552CB"/>
    <w:rsid w:val="00056530"/>
    <w:rsid w:val="000607E2"/>
    <w:rsid w:val="00060EEC"/>
    <w:rsid w:val="000615C6"/>
    <w:rsid w:val="00062826"/>
    <w:rsid w:val="00063DD9"/>
    <w:rsid w:val="00064D91"/>
    <w:rsid w:val="00066FA1"/>
    <w:rsid w:val="000676A6"/>
    <w:rsid w:val="0007010E"/>
    <w:rsid w:val="0007136F"/>
    <w:rsid w:val="00072027"/>
    <w:rsid w:val="00072089"/>
    <w:rsid w:val="000731B9"/>
    <w:rsid w:val="00073731"/>
    <w:rsid w:val="000746F2"/>
    <w:rsid w:val="000758FA"/>
    <w:rsid w:val="000765E3"/>
    <w:rsid w:val="00077ECF"/>
    <w:rsid w:val="00081FB5"/>
    <w:rsid w:val="0008364A"/>
    <w:rsid w:val="0008564E"/>
    <w:rsid w:val="000873D4"/>
    <w:rsid w:val="00087AAD"/>
    <w:rsid w:val="0009003B"/>
    <w:rsid w:val="000922FF"/>
    <w:rsid w:val="000933AC"/>
    <w:rsid w:val="000935D0"/>
    <w:rsid w:val="00094980"/>
    <w:rsid w:val="000950C9"/>
    <w:rsid w:val="0009527A"/>
    <w:rsid w:val="0009576B"/>
    <w:rsid w:val="00095A89"/>
    <w:rsid w:val="00097533"/>
    <w:rsid w:val="00097920"/>
    <w:rsid w:val="0009795C"/>
    <w:rsid w:val="000A096B"/>
    <w:rsid w:val="000A25A4"/>
    <w:rsid w:val="000A27B5"/>
    <w:rsid w:val="000A31BF"/>
    <w:rsid w:val="000A3AC6"/>
    <w:rsid w:val="000A4124"/>
    <w:rsid w:val="000A4A59"/>
    <w:rsid w:val="000A5059"/>
    <w:rsid w:val="000A5CE4"/>
    <w:rsid w:val="000A6D9B"/>
    <w:rsid w:val="000A71C9"/>
    <w:rsid w:val="000A74F4"/>
    <w:rsid w:val="000A7D37"/>
    <w:rsid w:val="000B08D3"/>
    <w:rsid w:val="000B0BF6"/>
    <w:rsid w:val="000B0C74"/>
    <w:rsid w:val="000B192A"/>
    <w:rsid w:val="000B19FA"/>
    <w:rsid w:val="000B432D"/>
    <w:rsid w:val="000B436C"/>
    <w:rsid w:val="000C0151"/>
    <w:rsid w:val="000C07A6"/>
    <w:rsid w:val="000C1391"/>
    <w:rsid w:val="000C1C93"/>
    <w:rsid w:val="000C25E0"/>
    <w:rsid w:val="000C27DD"/>
    <w:rsid w:val="000C4126"/>
    <w:rsid w:val="000C561A"/>
    <w:rsid w:val="000C5A04"/>
    <w:rsid w:val="000D17BA"/>
    <w:rsid w:val="000D1977"/>
    <w:rsid w:val="000D1ADF"/>
    <w:rsid w:val="000D2357"/>
    <w:rsid w:val="000D2388"/>
    <w:rsid w:val="000D2FB9"/>
    <w:rsid w:val="000D40F1"/>
    <w:rsid w:val="000D5BE3"/>
    <w:rsid w:val="000D5E4B"/>
    <w:rsid w:val="000D69DC"/>
    <w:rsid w:val="000E0B82"/>
    <w:rsid w:val="000E1DAE"/>
    <w:rsid w:val="000E2044"/>
    <w:rsid w:val="000E26D3"/>
    <w:rsid w:val="000E2C65"/>
    <w:rsid w:val="000E2E3C"/>
    <w:rsid w:val="000E32BD"/>
    <w:rsid w:val="000E38E6"/>
    <w:rsid w:val="000E50B7"/>
    <w:rsid w:val="000E5A29"/>
    <w:rsid w:val="000E61B8"/>
    <w:rsid w:val="000E77AA"/>
    <w:rsid w:val="000E7A71"/>
    <w:rsid w:val="000F0104"/>
    <w:rsid w:val="000F0212"/>
    <w:rsid w:val="000F0FC3"/>
    <w:rsid w:val="000F29B1"/>
    <w:rsid w:val="000F3286"/>
    <w:rsid w:val="000F32A5"/>
    <w:rsid w:val="000F43CB"/>
    <w:rsid w:val="000F63D8"/>
    <w:rsid w:val="000F69D3"/>
    <w:rsid w:val="001005BC"/>
    <w:rsid w:val="00100FDB"/>
    <w:rsid w:val="00101137"/>
    <w:rsid w:val="00104ACD"/>
    <w:rsid w:val="00104C81"/>
    <w:rsid w:val="00104E69"/>
    <w:rsid w:val="001063B1"/>
    <w:rsid w:val="001069DF"/>
    <w:rsid w:val="001072B6"/>
    <w:rsid w:val="00107BB9"/>
    <w:rsid w:val="00107F11"/>
    <w:rsid w:val="00107FB8"/>
    <w:rsid w:val="00111846"/>
    <w:rsid w:val="00111B85"/>
    <w:rsid w:val="00111CA0"/>
    <w:rsid w:val="001127B1"/>
    <w:rsid w:val="0011297E"/>
    <w:rsid w:val="0011381E"/>
    <w:rsid w:val="0011419E"/>
    <w:rsid w:val="0011542B"/>
    <w:rsid w:val="00115877"/>
    <w:rsid w:val="001165BE"/>
    <w:rsid w:val="00116E97"/>
    <w:rsid w:val="001177BD"/>
    <w:rsid w:val="001179A7"/>
    <w:rsid w:val="00117D9A"/>
    <w:rsid w:val="001201F4"/>
    <w:rsid w:val="001228F7"/>
    <w:rsid w:val="00122F4B"/>
    <w:rsid w:val="00123087"/>
    <w:rsid w:val="0012380A"/>
    <w:rsid w:val="00124127"/>
    <w:rsid w:val="00124499"/>
    <w:rsid w:val="00124CDE"/>
    <w:rsid w:val="00125701"/>
    <w:rsid w:val="00126414"/>
    <w:rsid w:val="0012675D"/>
    <w:rsid w:val="00126A3C"/>
    <w:rsid w:val="00126CA3"/>
    <w:rsid w:val="001272EA"/>
    <w:rsid w:val="0013083C"/>
    <w:rsid w:val="00130F6B"/>
    <w:rsid w:val="00131B45"/>
    <w:rsid w:val="00131DA1"/>
    <w:rsid w:val="0013209F"/>
    <w:rsid w:val="00132824"/>
    <w:rsid w:val="00134926"/>
    <w:rsid w:val="00135187"/>
    <w:rsid w:val="001358EE"/>
    <w:rsid w:val="00136627"/>
    <w:rsid w:val="001367B6"/>
    <w:rsid w:val="001372F9"/>
    <w:rsid w:val="001410DA"/>
    <w:rsid w:val="00141483"/>
    <w:rsid w:val="00141F9A"/>
    <w:rsid w:val="001428C3"/>
    <w:rsid w:val="00142C0B"/>
    <w:rsid w:val="00143BFC"/>
    <w:rsid w:val="00144466"/>
    <w:rsid w:val="00144C44"/>
    <w:rsid w:val="001450DA"/>
    <w:rsid w:val="001456D8"/>
    <w:rsid w:val="00146E39"/>
    <w:rsid w:val="00147D1C"/>
    <w:rsid w:val="001501F4"/>
    <w:rsid w:val="001506AD"/>
    <w:rsid w:val="00150851"/>
    <w:rsid w:val="001512C6"/>
    <w:rsid w:val="00151B1D"/>
    <w:rsid w:val="00152996"/>
    <w:rsid w:val="00152C74"/>
    <w:rsid w:val="001539DB"/>
    <w:rsid w:val="00155CDF"/>
    <w:rsid w:val="00156730"/>
    <w:rsid w:val="001567B3"/>
    <w:rsid w:val="0015702B"/>
    <w:rsid w:val="00157190"/>
    <w:rsid w:val="00157685"/>
    <w:rsid w:val="0016024F"/>
    <w:rsid w:val="00160D74"/>
    <w:rsid w:val="001610D2"/>
    <w:rsid w:val="001622E8"/>
    <w:rsid w:val="00162E26"/>
    <w:rsid w:val="00164057"/>
    <w:rsid w:val="0016422B"/>
    <w:rsid w:val="00164325"/>
    <w:rsid w:val="001643A7"/>
    <w:rsid w:val="00165AC6"/>
    <w:rsid w:val="00166D8A"/>
    <w:rsid w:val="00167B23"/>
    <w:rsid w:val="00167E70"/>
    <w:rsid w:val="00170191"/>
    <w:rsid w:val="00170B76"/>
    <w:rsid w:val="00170E30"/>
    <w:rsid w:val="001717BD"/>
    <w:rsid w:val="0017339B"/>
    <w:rsid w:val="001738EE"/>
    <w:rsid w:val="0017402C"/>
    <w:rsid w:val="001759B1"/>
    <w:rsid w:val="00176505"/>
    <w:rsid w:val="0017769D"/>
    <w:rsid w:val="00177793"/>
    <w:rsid w:val="0017797C"/>
    <w:rsid w:val="00177D50"/>
    <w:rsid w:val="001809F3"/>
    <w:rsid w:val="00181C7D"/>
    <w:rsid w:val="00183387"/>
    <w:rsid w:val="00185DC9"/>
    <w:rsid w:val="001870A7"/>
    <w:rsid w:val="0018719D"/>
    <w:rsid w:val="001872D2"/>
    <w:rsid w:val="001900E1"/>
    <w:rsid w:val="0019057E"/>
    <w:rsid w:val="00192354"/>
    <w:rsid w:val="0019310B"/>
    <w:rsid w:val="00193141"/>
    <w:rsid w:val="001953F7"/>
    <w:rsid w:val="0019667D"/>
    <w:rsid w:val="00196843"/>
    <w:rsid w:val="0019693A"/>
    <w:rsid w:val="001A0C4A"/>
    <w:rsid w:val="001A0C89"/>
    <w:rsid w:val="001A1369"/>
    <w:rsid w:val="001A359E"/>
    <w:rsid w:val="001A68A6"/>
    <w:rsid w:val="001A7AEF"/>
    <w:rsid w:val="001A7C88"/>
    <w:rsid w:val="001B05AC"/>
    <w:rsid w:val="001B11D2"/>
    <w:rsid w:val="001B1A8E"/>
    <w:rsid w:val="001B21A0"/>
    <w:rsid w:val="001B32DE"/>
    <w:rsid w:val="001B4787"/>
    <w:rsid w:val="001B47C1"/>
    <w:rsid w:val="001B5819"/>
    <w:rsid w:val="001B5897"/>
    <w:rsid w:val="001B655D"/>
    <w:rsid w:val="001B681C"/>
    <w:rsid w:val="001C0EF8"/>
    <w:rsid w:val="001C158E"/>
    <w:rsid w:val="001C1713"/>
    <w:rsid w:val="001C17C7"/>
    <w:rsid w:val="001C1FDF"/>
    <w:rsid w:val="001C43BC"/>
    <w:rsid w:val="001C4BC0"/>
    <w:rsid w:val="001C5F78"/>
    <w:rsid w:val="001C60FF"/>
    <w:rsid w:val="001C6178"/>
    <w:rsid w:val="001C638F"/>
    <w:rsid w:val="001C68AC"/>
    <w:rsid w:val="001C708E"/>
    <w:rsid w:val="001D0397"/>
    <w:rsid w:val="001D0A3A"/>
    <w:rsid w:val="001D0EAD"/>
    <w:rsid w:val="001D21D1"/>
    <w:rsid w:val="001D242C"/>
    <w:rsid w:val="001D2E7A"/>
    <w:rsid w:val="001D4695"/>
    <w:rsid w:val="001D46EE"/>
    <w:rsid w:val="001D62A0"/>
    <w:rsid w:val="001D62CC"/>
    <w:rsid w:val="001D63EB"/>
    <w:rsid w:val="001D6B7F"/>
    <w:rsid w:val="001E04F1"/>
    <w:rsid w:val="001E10EF"/>
    <w:rsid w:val="001E3523"/>
    <w:rsid w:val="001E353C"/>
    <w:rsid w:val="001E6465"/>
    <w:rsid w:val="001E6E19"/>
    <w:rsid w:val="001E759F"/>
    <w:rsid w:val="001E77FF"/>
    <w:rsid w:val="001E7C08"/>
    <w:rsid w:val="001F0B48"/>
    <w:rsid w:val="001F1A69"/>
    <w:rsid w:val="001F1DD6"/>
    <w:rsid w:val="001F2747"/>
    <w:rsid w:val="001F399A"/>
    <w:rsid w:val="001F55DA"/>
    <w:rsid w:val="001F5DAA"/>
    <w:rsid w:val="001F662B"/>
    <w:rsid w:val="001F7384"/>
    <w:rsid w:val="001F752D"/>
    <w:rsid w:val="002020D2"/>
    <w:rsid w:val="00203B41"/>
    <w:rsid w:val="00203D4D"/>
    <w:rsid w:val="002074D2"/>
    <w:rsid w:val="0020761C"/>
    <w:rsid w:val="00207A2F"/>
    <w:rsid w:val="0021034C"/>
    <w:rsid w:val="002105FE"/>
    <w:rsid w:val="00210FA8"/>
    <w:rsid w:val="0021212A"/>
    <w:rsid w:val="00212840"/>
    <w:rsid w:val="0021309B"/>
    <w:rsid w:val="00213502"/>
    <w:rsid w:val="0021415D"/>
    <w:rsid w:val="00214CC7"/>
    <w:rsid w:val="002157BE"/>
    <w:rsid w:val="00215BB8"/>
    <w:rsid w:val="002164AB"/>
    <w:rsid w:val="00216875"/>
    <w:rsid w:val="0022188C"/>
    <w:rsid w:val="00221C96"/>
    <w:rsid w:val="002223DB"/>
    <w:rsid w:val="00222A09"/>
    <w:rsid w:val="002238AD"/>
    <w:rsid w:val="0022491A"/>
    <w:rsid w:val="00224BE2"/>
    <w:rsid w:val="002250CA"/>
    <w:rsid w:val="002264F6"/>
    <w:rsid w:val="00227262"/>
    <w:rsid w:val="00230D35"/>
    <w:rsid w:val="00231618"/>
    <w:rsid w:val="002317AD"/>
    <w:rsid w:val="00232652"/>
    <w:rsid w:val="0023284E"/>
    <w:rsid w:val="00234734"/>
    <w:rsid w:val="002348AB"/>
    <w:rsid w:val="002352F7"/>
    <w:rsid w:val="00235FC7"/>
    <w:rsid w:val="00235FD7"/>
    <w:rsid w:val="00236EE1"/>
    <w:rsid w:val="00237117"/>
    <w:rsid w:val="00237CCE"/>
    <w:rsid w:val="00237FDA"/>
    <w:rsid w:val="002406F4"/>
    <w:rsid w:val="00242205"/>
    <w:rsid w:val="00242324"/>
    <w:rsid w:val="00242B8D"/>
    <w:rsid w:val="00242BB9"/>
    <w:rsid w:val="002430B7"/>
    <w:rsid w:val="0024397C"/>
    <w:rsid w:val="00243BDE"/>
    <w:rsid w:val="00244034"/>
    <w:rsid w:val="00244CA4"/>
    <w:rsid w:val="00244E09"/>
    <w:rsid w:val="00246793"/>
    <w:rsid w:val="00247B58"/>
    <w:rsid w:val="002512AA"/>
    <w:rsid w:val="00252542"/>
    <w:rsid w:val="002525DD"/>
    <w:rsid w:val="00252CFE"/>
    <w:rsid w:val="002531C4"/>
    <w:rsid w:val="002534FE"/>
    <w:rsid w:val="00254E82"/>
    <w:rsid w:val="00255E8A"/>
    <w:rsid w:val="00255EFE"/>
    <w:rsid w:val="0025787F"/>
    <w:rsid w:val="002579FE"/>
    <w:rsid w:val="00257DAE"/>
    <w:rsid w:val="0026062E"/>
    <w:rsid w:val="00261021"/>
    <w:rsid w:val="0026134F"/>
    <w:rsid w:val="00262292"/>
    <w:rsid w:val="002635D0"/>
    <w:rsid w:val="00263986"/>
    <w:rsid w:val="00263B1E"/>
    <w:rsid w:val="00263E36"/>
    <w:rsid w:val="002679C4"/>
    <w:rsid w:val="00267B9F"/>
    <w:rsid w:val="002707DC"/>
    <w:rsid w:val="00270C29"/>
    <w:rsid w:val="00270E85"/>
    <w:rsid w:val="00271259"/>
    <w:rsid w:val="00271408"/>
    <w:rsid w:val="00271791"/>
    <w:rsid w:val="002725E5"/>
    <w:rsid w:val="00272A3D"/>
    <w:rsid w:val="00272C54"/>
    <w:rsid w:val="00272F69"/>
    <w:rsid w:val="002731B3"/>
    <w:rsid w:val="00273B30"/>
    <w:rsid w:val="00275F72"/>
    <w:rsid w:val="00277B77"/>
    <w:rsid w:val="002801F4"/>
    <w:rsid w:val="00280757"/>
    <w:rsid w:val="00280CE4"/>
    <w:rsid w:val="00280D7C"/>
    <w:rsid w:val="00281695"/>
    <w:rsid w:val="002823ED"/>
    <w:rsid w:val="002826D3"/>
    <w:rsid w:val="002835B0"/>
    <w:rsid w:val="00283C2B"/>
    <w:rsid w:val="00283EB5"/>
    <w:rsid w:val="00284E83"/>
    <w:rsid w:val="00284FD7"/>
    <w:rsid w:val="00285935"/>
    <w:rsid w:val="00285E02"/>
    <w:rsid w:val="00286C3C"/>
    <w:rsid w:val="00287826"/>
    <w:rsid w:val="00290289"/>
    <w:rsid w:val="00290A8E"/>
    <w:rsid w:val="00290AD1"/>
    <w:rsid w:val="00292F97"/>
    <w:rsid w:val="002962F6"/>
    <w:rsid w:val="0029693F"/>
    <w:rsid w:val="00296E26"/>
    <w:rsid w:val="00296FD4"/>
    <w:rsid w:val="002976F7"/>
    <w:rsid w:val="00297ECF"/>
    <w:rsid w:val="002A06F2"/>
    <w:rsid w:val="002A0F29"/>
    <w:rsid w:val="002A1A17"/>
    <w:rsid w:val="002A1EAF"/>
    <w:rsid w:val="002A24DA"/>
    <w:rsid w:val="002A273F"/>
    <w:rsid w:val="002A4637"/>
    <w:rsid w:val="002A463F"/>
    <w:rsid w:val="002A4C96"/>
    <w:rsid w:val="002A4EC3"/>
    <w:rsid w:val="002A5D6D"/>
    <w:rsid w:val="002A5DE7"/>
    <w:rsid w:val="002A6067"/>
    <w:rsid w:val="002A69E4"/>
    <w:rsid w:val="002A7209"/>
    <w:rsid w:val="002A7EB0"/>
    <w:rsid w:val="002B0620"/>
    <w:rsid w:val="002B0948"/>
    <w:rsid w:val="002B24E2"/>
    <w:rsid w:val="002B28ED"/>
    <w:rsid w:val="002B3C22"/>
    <w:rsid w:val="002B5C53"/>
    <w:rsid w:val="002B72D7"/>
    <w:rsid w:val="002B757F"/>
    <w:rsid w:val="002B7E34"/>
    <w:rsid w:val="002B7FEF"/>
    <w:rsid w:val="002C0032"/>
    <w:rsid w:val="002C59F3"/>
    <w:rsid w:val="002C6D38"/>
    <w:rsid w:val="002C6E49"/>
    <w:rsid w:val="002C7557"/>
    <w:rsid w:val="002C7784"/>
    <w:rsid w:val="002D2345"/>
    <w:rsid w:val="002D261D"/>
    <w:rsid w:val="002D2D62"/>
    <w:rsid w:val="002D2F7E"/>
    <w:rsid w:val="002D35E4"/>
    <w:rsid w:val="002D3650"/>
    <w:rsid w:val="002D3D74"/>
    <w:rsid w:val="002D4690"/>
    <w:rsid w:val="002D4E4C"/>
    <w:rsid w:val="002D5FE3"/>
    <w:rsid w:val="002D6ABE"/>
    <w:rsid w:val="002D7135"/>
    <w:rsid w:val="002D7408"/>
    <w:rsid w:val="002D75DF"/>
    <w:rsid w:val="002D775D"/>
    <w:rsid w:val="002D7865"/>
    <w:rsid w:val="002D7D6C"/>
    <w:rsid w:val="002E04E3"/>
    <w:rsid w:val="002E268F"/>
    <w:rsid w:val="002E4706"/>
    <w:rsid w:val="002E5061"/>
    <w:rsid w:val="002E5F46"/>
    <w:rsid w:val="002F05E9"/>
    <w:rsid w:val="002F0620"/>
    <w:rsid w:val="002F0A6D"/>
    <w:rsid w:val="002F1350"/>
    <w:rsid w:val="002F1672"/>
    <w:rsid w:val="002F2ACA"/>
    <w:rsid w:val="002F2DFE"/>
    <w:rsid w:val="002F4E36"/>
    <w:rsid w:val="002F5055"/>
    <w:rsid w:val="002F77FC"/>
    <w:rsid w:val="002F79AC"/>
    <w:rsid w:val="00300ACF"/>
    <w:rsid w:val="00300EE7"/>
    <w:rsid w:val="003013EA"/>
    <w:rsid w:val="003028BC"/>
    <w:rsid w:val="00302E0B"/>
    <w:rsid w:val="00307512"/>
    <w:rsid w:val="00307940"/>
    <w:rsid w:val="00307C01"/>
    <w:rsid w:val="00310A6D"/>
    <w:rsid w:val="00310D86"/>
    <w:rsid w:val="00311659"/>
    <w:rsid w:val="00311FA5"/>
    <w:rsid w:val="0031257E"/>
    <w:rsid w:val="00312E1D"/>
    <w:rsid w:val="00313913"/>
    <w:rsid w:val="0031469E"/>
    <w:rsid w:val="00315B9E"/>
    <w:rsid w:val="00315FDB"/>
    <w:rsid w:val="00316259"/>
    <w:rsid w:val="0031626A"/>
    <w:rsid w:val="00316BD4"/>
    <w:rsid w:val="003170AE"/>
    <w:rsid w:val="00320779"/>
    <w:rsid w:val="00321A87"/>
    <w:rsid w:val="00322597"/>
    <w:rsid w:val="003229DC"/>
    <w:rsid w:val="00322F2E"/>
    <w:rsid w:val="00325657"/>
    <w:rsid w:val="0032640D"/>
    <w:rsid w:val="00326D30"/>
    <w:rsid w:val="0032711C"/>
    <w:rsid w:val="00327BC7"/>
    <w:rsid w:val="00330F7C"/>
    <w:rsid w:val="00331048"/>
    <w:rsid w:val="003312A2"/>
    <w:rsid w:val="0033162F"/>
    <w:rsid w:val="003319DC"/>
    <w:rsid w:val="003320A8"/>
    <w:rsid w:val="00332906"/>
    <w:rsid w:val="00333C7F"/>
    <w:rsid w:val="00334731"/>
    <w:rsid w:val="003355EA"/>
    <w:rsid w:val="00335FAD"/>
    <w:rsid w:val="003362EE"/>
    <w:rsid w:val="003366C6"/>
    <w:rsid w:val="00336A05"/>
    <w:rsid w:val="00337DDD"/>
    <w:rsid w:val="0034233C"/>
    <w:rsid w:val="0034442E"/>
    <w:rsid w:val="003444D6"/>
    <w:rsid w:val="00344799"/>
    <w:rsid w:val="00344B6E"/>
    <w:rsid w:val="00344EE1"/>
    <w:rsid w:val="003458FB"/>
    <w:rsid w:val="0034610F"/>
    <w:rsid w:val="00346231"/>
    <w:rsid w:val="0034625E"/>
    <w:rsid w:val="0035158A"/>
    <w:rsid w:val="00353389"/>
    <w:rsid w:val="00353B47"/>
    <w:rsid w:val="003552DB"/>
    <w:rsid w:val="00355714"/>
    <w:rsid w:val="00355A28"/>
    <w:rsid w:val="00355C00"/>
    <w:rsid w:val="00356222"/>
    <w:rsid w:val="00356E75"/>
    <w:rsid w:val="00356F87"/>
    <w:rsid w:val="00360088"/>
    <w:rsid w:val="003601EB"/>
    <w:rsid w:val="003606A9"/>
    <w:rsid w:val="00360D7F"/>
    <w:rsid w:val="00362221"/>
    <w:rsid w:val="0036272D"/>
    <w:rsid w:val="00362C1D"/>
    <w:rsid w:val="00363D2F"/>
    <w:rsid w:val="00363FB0"/>
    <w:rsid w:val="003647D3"/>
    <w:rsid w:val="003651F7"/>
    <w:rsid w:val="00365612"/>
    <w:rsid w:val="00367BA8"/>
    <w:rsid w:val="0037069B"/>
    <w:rsid w:val="00370A84"/>
    <w:rsid w:val="003716A6"/>
    <w:rsid w:val="003718B5"/>
    <w:rsid w:val="00371DC4"/>
    <w:rsid w:val="00372061"/>
    <w:rsid w:val="0037429A"/>
    <w:rsid w:val="00376CD2"/>
    <w:rsid w:val="00376E53"/>
    <w:rsid w:val="00380DAC"/>
    <w:rsid w:val="003817E4"/>
    <w:rsid w:val="00385639"/>
    <w:rsid w:val="00385DAE"/>
    <w:rsid w:val="00386D5C"/>
    <w:rsid w:val="00390580"/>
    <w:rsid w:val="00392036"/>
    <w:rsid w:val="00392196"/>
    <w:rsid w:val="003922EF"/>
    <w:rsid w:val="00393642"/>
    <w:rsid w:val="00394B82"/>
    <w:rsid w:val="00396637"/>
    <w:rsid w:val="003A0020"/>
    <w:rsid w:val="003A1542"/>
    <w:rsid w:val="003A1C01"/>
    <w:rsid w:val="003A200A"/>
    <w:rsid w:val="003A3F88"/>
    <w:rsid w:val="003A4C29"/>
    <w:rsid w:val="003A65DA"/>
    <w:rsid w:val="003A6DBD"/>
    <w:rsid w:val="003A6EB4"/>
    <w:rsid w:val="003A7387"/>
    <w:rsid w:val="003A753A"/>
    <w:rsid w:val="003B0B81"/>
    <w:rsid w:val="003B14A5"/>
    <w:rsid w:val="003B14F0"/>
    <w:rsid w:val="003B2058"/>
    <w:rsid w:val="003B2A5A"/>
    <w:rsid w:val="003B35B9"/>
    <w:rsid w:val="003B468F"/>
    <w:rsid w:val="003B5319"/>
    <w:rsid w:val="003B5810"/>
    <w:rsid w:val="003B5879"/>
    <w:rsid w:val="003C0A1E"/>
    <w:rsid w:val="003C12D0"/>
    <w:rsid w:val="003C4792"/>
    <w:rsid w:val="003C481E"/>
    <w:rsid w:val="003C4F48"/>
    <w:rsid w:val="003C5ABA"/>
    <w:rsid w:val="003C5E81"/>
    <w:rsid w:val="003C6109"/>
    <w:rsid w:val="003C6609"/>
    <w:rsid w:val="003C664A"/>
    <w:rsid w:val="003C705B"/>
    <w:rsid w:val="003D0592"/>
    <w:rsid w:val="003D08CF"/>
    <w:rsid w:val="003D17CC"/>
    <w:rsid w:val="003D5235"/>
    <w:rsid w:val="003D6B7D"/>
    <w:rsid w:val="003D723E"/>
    <w:rsid w:val="003E0125"/>
    <w:rsid w:val="003E055C"/>
    <w:rsid w:val="003E0A6F"/>
    <w:rsid w:val="003E227C"/>
    <w:rsid w:val="003E2A7F"/>
    <w:rsid w:val="003E2D80"/>
    <w:rsid w:val="003E2F19"/>
    <w:rsid w:val="003E36F4"/>
    <w:rsid w:val="003E40B7"/>
    <w:rsid w:val="003E4B1E"/>
    <w:rsid w:val="003E69BC"/>
    <w:rsid w:val="003E7231"/>
    <w:rsid w:val="003F1369"/>
    <w:rsid w:val="003F162D"/>
    <w:rsid w:val="003F1D92"/>
    <w:rsid w:val="003F2A21"/>
    <w:rsid w:val="003F2EFB"/>
    <w:rsid w:val="003F36EA"/>
    <w:rsid w:val="003F4F5B"/>
    <w:rsid w:val="003F54E9"/>
    <w:rsid w:val="003F7677"/>
    <w:rsid w:val="003F7E53"/>
    <w:rsid w:val="00400D5A"/>
    <w:rsid w:val="004016E8"/>
    <w:rsid w:val="004018C9"/>
    <w:rsid w:val="00401A31"/>
    <w:rsid w:val="00402E28"/>
    <w:rsid w:val="00403E41"/>
    <w:rsid w:val="00404A23"/>
    <w:rsid w:val="004064BD"/>
    <w:rsid w:val="00407659"/>
    <w:rsid w:val="00407F99"/>
    <w:rsid w:val="00411419"/>
    <w:rsid w:val="0041179F"/>
    <w:rsid w:val="00411901"/>
    <w:rsid w:val="00411B14"/>
    <w:rsid w:val="00413BB3"/>
    <w:rsid w:val="00415DF3"/>
    <w:rsid w:val="00417D54"/>
    <w:rsid w:val="004200BF"/>
    <w:rsid w:val="0042019A"/>
    <w:rsid w:val="00424399"/>
    <w:rsid w:val="00425696"/>
    <w:rsid w:val="00425DB7"/>
    <w:rsid w:val="00425DC6"/>
    <w:rsid w:val="00425DCA"/>
    <w:rsid w:val="00426462"/>
    <w:rsid w:val="0042649E"/>
    <w:rsid w:val="00426F88"/>
    <w:rsid w:val="0042701F"/>
    <w:rsid w:val="00427375"/>
    <w:rsid w:val="00427E54"/>
    <w:rsid w:val="004307BD"/>
    <w:rsid w:val="004307F4"/>
    <w:rsid w:val="0043089E"/>
    <w:rsid w:val="00431DD2"/>
    <w:rsid w:val="0043351C"/>
    <w:rsid w:val="004338D8"/>
    <w:rsid w:val="00434815"/>
    <w:rsid w:val="0043501D"/>
    <w:rsid w:val="00435715"/>
    <w:rsid w:val="00436AFC"/>
    <w:rsid w:val="00437038"/>
    <w:rsid w:val="004372B5"/>
    <w:rsid w:val="004378A8"/>
    <w:rsid w:val="00437C56"/>
    <w:rsid w:val="004408D2"/>
    <w:rsid w:val="00440A92"/>
    <w:rsid w:val="00440AA9"/>
    <w:rsid w:val="00442966"/>
    <w:rsid w:val="00444978"/>
    <w:rsid w:val="00445541"/>
    <w:rsid w:val="00445844"/>
    <w:rsid w:val="00445A25"/>
    <w:rsid w:val="00445ED3"/>
    <w:rsid w:val="00447791"/>
    <w:rsid w:val="004502C8"/>
    <w:rsid w:val="00453A74"/>
    <w:rsid w:val="0045667D"/>
    <w:rsid w:val="00456CC9"/>
    <w:rsid w:val="00456D79"/>
    <w:rsid w:val="0046143E"/>
    <w:rsid w:val="00461E0F"/>
    <w:rsid w:val="004628CA"/>
    <w:rsid w:val="00464D35"/>
    <w:rsid w:val="004654AF"/>
    <w:rsid w:val="0046576F"/>
    <w:rsid w:val="0046625F"/>
    <w:rsid w:val="00470AC2"/>
    <w:rsid w:val="00470D89"/>
    <w:rsid w:val="0047108E"/>
    <w:rsid w:val="00471D9B"/>
    <w:rsid w:val="00472060"/>
    <w:rsid w:val="00472E37"/>
    <w:rsid w:val="004737C6"/>
    <w:rsid w:val="00473A2A"/>
    <w:rsid w:val="00473EF8"/>
    <w:rsid w:val="00474493"/>
    <w:rsid w:val="00474521"/>
    <w:rsid w:val="00475870"/>
    <w:rsid w:val="00475AA5"/>
    <w:rsid w:val="004764EB"/>
    <w:rsid w:val="00480608"/>
    <w:rsid w:val="00480801"/>
    <w:rsid w:val="00480CAD"/>
    <w:rsid w:val="00480E73"/>
    <w:rsid w:val="0048142C"/>
    <w:rsid w:val="0048364B"/>
    <w:rsid w:val="004841B4"/>
    <w:rsid w:val="0048486A"/>
    <w:rsid w:val="00485572"/>
    <w:rsid w:val="004856CB"/>
    <w:rsid w:val="00485EE8"/>
    <w:rsid w:val="004867C2"/>
    <w:rsid w:val="00486992"/>
    <w:rsid w:val="00490EC1"/>
    <w:rsid w:val="004928AA"/>
    <w:rsid w:val="00492A59"/>
    <w:rsid w:val="00492C9D"/>
    <w:rsid w:val="00492F6D"/>
    <w:rsid w:val="004934E1"/>
    <w:rsid w:val="00493DF1"/>
    <w:rsid w:val="004944C8"/>
    <w:rsid w:val="0049556E"/>
    <w:rsid w:val="00495C87"/>
    <w:rsid w:val="00495DCC"/>
    <w:rsid w:val="00497A0F"/>
    <w:rsid w:val="004A0392"/>
    <w:rsid w:val="004A0E4C"/>
    <w:rsid w:val="004A16DE"/>
    <w:rsid w:val="004A1C6B"/>
    <w:rsid w:val="004A34CE"/>
    <w:rsid w:val="004A3973"/>
    <w:rsid w:val="004A3DB8"/>
    <w:rsid w:val="004A5047"/>
    <w:rsid w:val="004A50DF"/>
    <w:rsid w:val="004A52C5"/>
    <w:rsid w:val="004A57CE"/>
    <w:rsid w:val="004A5B4A"/>
    <w:rsid w:val="004A60BE"/>
    <w:rsid w:val="004A61B4"/>
    <w:rsid w:val="004A6DB5"/>
    <w:rsid w:val="004A789F"/>
    <w:rsid w:val="004B073C"/>
    <w:rsid w:val="004B2291"/>
    <w:rsid w:val="004B2598"/>
    <w:rsid w:val="004B46AC"/>
    <w:rsid w:val="004B4707"/>
    <w:rsid w:val="004B49C2"/>
    <w:rsid w:val="004B4D26"/>
    <w:rsid w:val="004B5621"/>
    <w:rsid w:val="004B5B35"/>
    <w:rsid w:val="004B75C4"/>
    <w:rsid w:val="004C00C1"/>
    <w:rsid w:val="004C0107"/>
    <w:rsid w:val="004C0949"/>
    <w:rsid w:val="004C0F3A"/>
    <w:rsid w:val="004C1207"/>
    <w:rsid w:val="004C1B1B"/>
    <w:rsid w:val="004C33A1"/>
    <w:rsid w:val="004C41A6"/>
    <w:rsid w:val="004C5FF3"/>
    <w:rsid w:val="004C6A53"/>
    <w:rsid w:val="004C6B8C"/>
    <w:rsid w:val="004D01B7"/>
    <w:rsid w:val="004D037C"/>
    <w:rsid w:val="004D1308"/>
    <w:rsid w:val="004D403E"/>
    <w:rsid w:val="004D5250"/>
    <w:rsid w:val="004D74C8"/>
    <w:rsid w:val="004E0C86"/>
    <w:rsid w:val="004E0F02"/>
    <w:rsid w:val="004E1AC1"/>
    <w:rsid w:val="004E1CFC"/>
    <w:rsid w:val="004E209E"/>
    <w:rsid w:val="004E2D2A"/>
    <w:rsid w:val="004E378D"/>
    <w:rsid w:val="004E51BF"/>
    <w:rsid w:val="004E53EA"/>
    <w:rsid w:val="004E79E8"/>
    <w:rsid w:val="004F1769"/>
    <w:rsid w:val="004F25EF"/>
    <w:rsid w:val="004F2995"/>
    <w:rsid w:val="004F3234"/>
    <w:rsid w:val="004F35D7"/>
    <w:rsid w:val="004F381E"/>
    <w:rsid w:val="004F54FC"/>
    <w:rsid w:val="004F5599"/>
    <w:rsid w:val="004F608D"/>
    <w:rsid w:val="004F691D"/>
    <w:rsid w:val="004F6E74"/>
    <w:rsid w:val="004F7039"/>
    <w:rsid w:val="004F7147"/>
    <w:rsid w:val="00500DA7"/>
    <w:rsid w:val="00500ED2"/>
    <w:rsid w:val="005048BA"/>
    <w:rsid w:val="00505774"/>
    <w:rsid w:val="005061C6"/>
    <w:rsid w:val="005076F7"/>
    <w:rsid w:val="005102D9"/>
    <w:rsid w:val="00511B7F"/>
    <w:rsid w:val="005139DB"/>
    <w:rsid w:val="00514437"/>
    <w:rsid w:val="00514827"/>
    <w:rsid w:val="005149CC"/>
    <w:rsid w:val="00514E50"/>
    <w:rsid w:val="0051570B"/>
    <w:rsid w:val="0051622D"/>
    <w:rsid w:val="00516373"/>
    <w:rsid w:val="00516935"/>
    <w:rsid w:val="00516BDF"/>
    <w:rsid w:val="005176F8"/>
    <w:rsid w:val="005178DC"/>
    <w:rsid w:val="00521F0A"/>
    <w:rsid w:val="00522833"/>
    <w:rsid w:val="00525F87"/>
    <w:rsid w:val="005262EB"/>
    <w:rsid w:val="00526EA3"/>
    <w:rsid w:val="00527D62"/>
    <w:rsid w:val="00530F08"/>
    <w:rsid w:val="00531921"/>
    <w:rsid w:val="00532AF5"/>
    <w:rsid w:val="005336B0"/>
    <w:rsid w:val="00535045"/>
    <w:rsid w:val="0053504F"/>
    <w:rsid w:val="005353BB"/>
    <w:rsid w:val="005369FE"/>
    <w:rsid w:val="00537E18"/>
    <w:rsid w:val="00541969"/>
    <w:rsid w:val="005444D4"/>
    <w:rsid w:val="00544651"/>
    <w:rsid w:val="0054467D"/>
    <w:rsid w:val="005449A7"/>
    <w:rsid w:val="00544AE1"/>
    <w:rsid w:val="005451A8"/>
    <w:rsid w:val="00545F81"/>
    <w:rsid w:val="00546082"/>
    <w:rsid w:val="0055086C"/>
    <w:rsid w:val="00550A4D"/>
    <w:rsid w:val="00551AF6"/>
    <w:rsid w:val="00551C3F"/>
    <w:rsid w:val="00552A0D"/>
    <w:rsid w:val="00553102"/>
    <w:rsid w:val="005541C2"/>
    <w:rsid w:val="005548DF"/>
    <w:rsid w:val="00554992"/>
    <w:rsid w:val="00554C95"/>
    <w:rsid w:val="0055503C"/>
    <w:rsid w:val="00555DA9"/>
    <w:rsid w:val="00557315"/>
    <w:rsid w:val="00561C6B"/>
    <w:rsid w:val="00563487"/>
    <w:rsid w:val="00564456"/>
    <w:rsid w:val="00564AA6"/>
    <w:rsid w:val="00565F2C"/>
    <w:rsid w:val="005663BF"/>
    <w:rsid w:val="005671C6"/>
    <w:rsid w:val="00567B7A"/>
    <w:rsid w:val="0057008E"/>
    <w:rsid w:val="00570142"/>
    <w:rsid w:val="00571C0C"/>
    <w:rsid w:val="00571D15"/>
    <w:rsid w:val="00573087"/>
    <w:rsid w:val="00573BB3"/>
    <w:rsid w:val="00573FA6"/>
    <w:rsid w:val="00576BB0"/>
    <w:rsid w:val="00576D38"/>
    <w:rsid w:val="005770F5"/>
    <w:rsid w:val="00577641"/>
    <w:rsid w:val="005800C5"/>
    <w:rsid w:val="0058096D"/>
    <w:rsid w:val="00580C9F"/>
    <w:rsid w:val="00580DD0"/>
    <w:rsid w:val="00581B5C"/>
    <w:rsid w:val="00581B99"/>
    <w:rsid w:val="00581C33"/>
    <w:rsid w:val="005825DD"/>
    <w:rsid w:val="00586C24"/>
    <w:rsid w:val="00587575"/>
    <w:rsid w:val="00590EB2"/>
    <w:rsid w:val="005918FF"/>
    <w:rsid w:val="00591ED7"/>
    <w:rsid w:val="0059228E"/>
    <w:rsid w:val="0059327A"/>
    <w:rsid w:val="00593490"/>
    <w:rsid w:val="00594AA3"/>
    <w:rsid w:val="00594C43"/>
    <w:rsid w:val="005950FD"/>
    <w:rsid w:val="005952C9"/>
    <w:rsid w:val="005959F0"/>
    <w:rsid w:val="00595D3C"/>
    <w:rsid w:val="00596AF7"/>
    <w:rsid w:val="005974A5"/>
    <w:rsid w:val="005A045D"/>
    <w:rsid w:val="005A0A0C"/>
    <w:rsid w:val="005A2388"/>
    <w:rsid w:val="005A2DAE"/>
    <w:rsid w:val="005A3950"/>
    <w:rsid w:val="005A3DD0"/>
    <w:rsid w:val="005A4A63"/>
    <w:rsid w:val="005A5906"/>
    <w:rsid w:val="005A6721"/>
    <w:rsid w:val="005A6910"/>
    <w:rsid w:val="005B23E1"/>
    <w:rsid w:val="005B27F5"/>
    <w:rsid w:val="005B29A0"/>
    <w:rsid w:val="005B3206"/>
    <w:rsid w:val="005B363C"/>
    <w:rsid w:val="005B4392"/>
    <w:rsid w:val="005B5168"/>
    <w:rsid w:val="005B5B3C"/>
    <w:rsid w:val="005B7A13"/>
    <w:rsid w:val="005C0CEB"/>
    <w:rsid w:val="005C1554"/>
    <w:rsid w:val="005C2975"/>
    <w:rsid w:val="005C3156"/>
    <w:rsid w:val="005C416E"/>
    <w:rsid w:val="005C41CC"/>
    <w:rsid w:val="005C50D0"/>
    <w:rsid w:val="005C57F6"/>
    <w:rsid w:val="005C7006"/>
    <w:rsid w:val="005C750E"/>
    <w:rsid w:val="005D1575"/>
    <w:rsid w:val="005D16FE"/>
    <w:rsid w:val="005D288A"/>
    <w:rsid w:val="005D2D6E"/>
    <w:rsid w:val="005D3760"/>
    <w:rsid w:val="005D3893"/>
    <w:rsid w:val="005D389F"/>
    <w:rsid w:val="005D3D64"/>
    <w:rsid w:val="005D3E0D"/>
    <w:rsid w:val="005D63DA"/>
    <w:rsid w:val="005D70E5"/>
    <w:rsid w:val="005D754D"/>
    <w:rsid w:val="005D758F"/>
    <w:rsid w:val="005D7EB8"/>
    <w:rsid w:val="005E0175"/>
    <w:rsid w:val="005E109A"/>
    <w:rsid w:val="005E1759"/>
    <w:rsid w:val="005E266C"/>
    <w:rsid w:val="005E2698"/>
    <w:rsid w:val="005E3F94"/>
    <w:rsid w:val="005E5654"/>
    <w:rsid w:val="005E58B9"/>
    <w:rsid w:val="005E5F3C"/>
    <w:rsid w:val="005E676E"/>
    <w:rsid w:val="005E7F4C"/>
    <w:rsid w:val="005F0E5A"/>
    <w:rsid w:val="005F0E68"/>
    <w:rsid w:val="005F1DB3"/>
    <w:rsid w:val="005F2482"/>
    <w:rsid w:val="005F2D7C"/>
    <w:rsid w:val="005F31D8"/>
    <w:rsid w:val="005F3BCA"/>
    <w:rsid w:val="005F49CA"/>
    <w:rsid w:val="005F4AFE"/>
    <w:rsid w:val="005F59F4"/>
    <w:rsid w:val="005F607E"/>
    <w:rsid w:val="005F63DE"/>
    <w:rsid w:val="005F6E0F"/>
    <w:rsid w:val="005F6FB5"/>
    <w:rsid w:val="0060039F"/>
    <w:rsid w:val="00601F13"/>
    <w:rsid w:val="006031BB"/>
    <w:rsid w:val="0060352E"/>
    <w:rsid w:val="00603FC4"/>
    <w:rsid w:val="00605C1F"/>
    <w:rsid w:val="00607613"/>
    <w:rsid w:val="00607BBC"/>
    <w:rsid w:val="006100B5"/>
    <w:rsid w:val="006110C1"/>
    <w:rsid w:val="0061188C"/>
    <w:rsid w:val="0061284A"/>
    <w:rsid w:val="00613E3B"/>
    <w:rsid w:val="00615E23"/>
    <w:rsid w:val="00616F8B"/>
    <w:rsid w:val="00620063"/>
    <w:rsid w:val="006217FB"/>
    <w:rsid w:val="00622526"/>
    <w:rsid w:val="0062311A"/>
    <w:rsid w:val="00623978"/>
    <w:rsid w:val="00623C67"/>
    <w:rsid w:val="00625510"/>
    <w:rsid w:val="006256A3"/>
    <w:rsid w:val="00625928"/>
    <w:rsid w:val="0062659D"/>
    <w:rsid w:val="00627FB0"/>
    <w:rsid w:val="006309AE"/>
    <w:rsid w:val="006320BB"/>
    <w:rsid w:val="00632C17"/>
    <w:rsid w:val="006330E4"/>
    <w:rsid w:val="00633C2F"/>
    <w:rsid w:val="00634104"/>
    <w:rsid w:val="006350B8"/>
    <w:rsid w:val="006355EF"/>
    <w:rsid w:val="00635E28"/>
    <w:rsid w:val="00636DB8"/>
    <w:rsid w:val="006377CE"/>
    <w:rsid w:val="00637C7C"/>
    <w:rsid w:val="00640213"/>
    <w:rsid w:val="00641192"/>
    <w:rsid w:val="00641B8C"/>
    <w:rsid w:val="00642B39"/>
    <w:rsid w:val="00642BAD"/>
    <w:rsid w:val="006430BC"/>
    <w:rsid w:val="006434D6"/>
    <w:rsid w:val="0064397F"/>
    <w:rsid w:val="00644362"/>
    <w:rsid w:val="006512A2"/>
    <w:rsid w:val="006548C1"/>
    <w:rsid w:val="00655199"/>
    <w:rsid w:val="00656CBD"/>
    <w:rsid w:val="00657D81"/>
    <w:rsid w:val="00660C73"/>
    <w:rsid w:val="00660F4E"/>
    <w:rsid w:val="00663276"/>
    <w:rsid w:val="00664882"/>
    <w:rsid w:val="00665AB4"/>
    <w:rsid w:val="00666BF0"/>
    <w:rsid w:val="0066705D"/>
    <w:rsid w:val="00667680"/>
    <w:rsid w:val="006700BE"/>
    <w:rsid w:val="00671DE3"/>
    <w:rsid w:val="0067477B"/>
    <w:rsid w:val="00674892"/>
    <w:rsid w:val="00674C60"/>
    <w:rsid w:val="00675292"/>
    <w:rsid w:val="006752CF"/>
    <w:rsid w:val="00676801"/>
    <w:rsid w:val="00677A68"/>
    <w:rsid w:val="00677BEA"/>
    <w:rsid w:val="00680F32"/>
    <w:rsid w:val="00681E10"/>
    <w:rsid w:val="0068317F"/>
    <w:rsid w:val="00685018"/>
    <w:rsid w:val="00686010"/>
    <w:rsid w:val="0068656D"/>
    <w:rsid w:val="00687312"/>
    <w:rsid w:val="00691BD4"/>
    <w:rsid w:val="006935BD"/>
    <w:rsid w:val="006943B5"/>
    <w:rsid w:val="0069554A"/>
    <w:rsid w:val="00697CA8"/>
    <w:rsid w:val="006A0FA3"/>
    <w:rsid w:val="006A20BB"/>
    <w:rsid w:val="006A4CC9"/>
    <w:rsid w:val="006A62AB"/>
    <w:rsid w:val="006A67BD"/>
    <w:rsid w:val="006A706D"/>
    <w:rsid w:val="006B186D"/>
    <w:rsid w:val="006B2A9C"/>
    <w:rsid w:val="006B3E1B"/>
    <w:rsid w:val="006B4937"/>
    <w:rsid w:val="006B5359"/>
    <w:rsid w:val="006B5778"/>
    <w:rsid w:val="006B5BE6"/>
    <w:rsid w:val="006B6F42"/>
    <w:rsid w:val="006C0437"/>
    <w:rsid w:val="006C2981"/>
    <w:rsid w:val="006C3AA5"/>
    <w:rsid w:val="006C4D1E"/>
    <w:rsid w:val="006C674B"/>
    <w:rsid w:val="006C7475"/>
    <w:rsid w:val="006C76BD"/>
    <w:rsid w:val="006C7FA8"/>
    <w:rsid w:val="006D02BE"/>
    <w:rsid w:val="006D045D"/>
    <w:rsid w:val="006D049E"/>
    <w:rsid w:val="006D0587"/>
    <w:rsid w:val="006D07E1"/>
    <w:rsid w:val="006D2353"/>
    <w:rsid w:val="006D23C2"/>
    <w:rsid w:val="006D3036"/>
    <w:rsid w:val="006D490E"/>
    <w:rsid w:val="006D4DBB"/>
    <w:rsid w:val="006D56F4"/>
    <w:rsid w:val="006D5975"/>
    <w:rsid w:val="006D5DA7"/>
    <w:rsid w:val="006D6C79"/>
    <w:rsid w:val="006D6CBB"/>
    <w:rsid w:val="006D6FD4"/>
    <w:rsid w:val="006D7C74"/>
    <w:rsid w:val="006E03CD"/>
    <w:rsid w:val="006E0D4B"/>
    <w:rsid w:val="006E1E58"/>
    <w:rsid w:val="006E26B4"/>
    <w:rsid w:val="006E3A0C"/>
    <w:rsid w:val="006E5275"/>
    <w:rsid w:val="006E716E"/>
    <w:rsid w:val="006F10CA"/>
    <w:rsid w:val="006F13A5"/>
    <w:rsid w:val="006F1C7C"/>
    <w:rsid w:val="006F5AC2"/>
    <w:rsid w:val="006F63DD"/>
    <w:rsid w:val="006F67B5"/>
    <w:rsid w:val="006F6C5A"/>
    <w:rsid w:val="006F6E0A"/>
    <w:rsid w:val="0070285D"/>
    <w:rsid w:val="00704658"/>
    <w:rsid w:val="00704E58"/>
    <w:rsid w:val="00705A51"/>
    <w:rsid w:val="00705E8F"/>
    <w:rsid w:val="00706306"/>
    <w:rsid w:val="00707347"/>
    <w:rsid w:val="00707E44"/>
    <w:rsid w:val="00711C46"/>
    <w:rsid w:val="00712236"/>
    <w:rsid w:val="00712575"/>
    <w:rsid w:val="007133D2"/>
    <w:rsid w:val="007136F3"/>
    <w:rsid w:val="00714153"/>
    <w:rsid w:val="007141E7"/>
    <w:rsid w:val="00714537"/>
    <w:rsid w:val="00715E25"/>
    <w:rsid w:val="00717390"/>
    <w:rsid w:val="007176BD"/>
    <w:rsid w:val="0072294C"/>
    <w:rsid w:val="00722BDA"/>
    <w:rsid w:val="0072413B"/>
    <w:rsid w:val="0072456D"/>
    <w:rsid w:val="007251FF"/>
    <w:rsid w:val="00725415"/>
    <w:rsid w:val="0073013C"/>
    <w:rsid w:val="00730238"/>
    <w:rsid w:val="00731D2E"/>
    <w:rsid w:val="00732E70"/>
    <w:rsid w:val="00732F8A"/>
    <w:rsid w:val="00733B3C"/>
    <w:rsid w:val="00734DFF"/>
    <w:rsid w:val="00734F4C"/>
    <w:rsid w:val="00736721"/>
    <w:rsid w:val="00736E3F"/>
    <w:rsid w:val="00741F84"/>
    <w:rsid w:val="00742320"/>
    <w:rsid w:val="0074269C"/>
    <w:rsid w:val="00742E96"/>
    <w:rsid w:val="0074515D"/>
    <w:rsid w:val="007453D6"/>
    <w:rsid w:val="0074584F"/>
    <w:rsid w:val="00745CA6"/>
    <w:rsid w:val="00745EA8"/>
    <w:rsid w:val="00745EBC"/>
    <w:rsid w:val="007461B7"/>
    <w:rsid w:val="00746F25"/>
    <w:rsid w:val="00747897"/>
    <w:rsid w:val="00750AE7"/>
    <w:rsid w:val="00752534"/>
    <w:rsid w:val="00752946"/>
    <w:rsid w:val="00754CF9"/>
    <w:rsid w:val="00755789"/>
    <w:rsid w:val="0075655B"/>
    <w:rsid w:val="00756CC5"/>
    <w:rsid w:val="00756ED0"/>
    <w:rsid w:val="007573B5"/>
    <w:rsid w:val="00761309"/>
    <w:rsid w:val="007615C8"/>
    <w:rsid w:val="00762831"/>
    <w:rsid w:val="00762DC3"/>
    <w:rsid w:val="007632DC"/>
    <w:rsid w:val="00763D10"/>
    <w:rsid w:val="007645DD"/>
    <w:rsid w:val="00766324"/>
    <w:rsid w:val="0076721C"/>
    <w:rsid w:val="007675AA"/>
    <w:rsid w:val="007676DF"/>
    <w:rsid w:val="007677AB"/>
    <w:rsid w:val="00767B6F"/>
    <w:rsid w:val="0077016B"/>
    <w:rsid w:val="00770BF2"/>
    <w:rsid w:val="00770D5D"/>
    <w:rsid w:val="00771051"/>
    <w:rsid w:val="007714FC"/>
    <w:rsid w:val="007754C9"/>
    <w:rsid w:val="007765B6"/>
    <w:rsid w:val="00776D52"/>
    <w:rsid w:val="00776DC7"/>
    <w:rsid w:val="00777615"/>
    <w:rsid w:val="00777E05"/>
    <w:rsid w:val="007803D5"/>
    <w:rsid w:val="00780CCF"/>
    <w:rsid w:val="00781959"/>
    <w:rsid w:val="007821BC"/>
    <w:rsid w:val="00782D31"/>
    <w:rsid w:val="00782F5D"/>
    <w:rsid w:val="00784AE8"/>
    <w:rsid w:val="00784B38"/>
    <w:rsid w:val="0078584A"/>
    <w:rsid w:val="00785D48"/>
    <w:rsid w:val="0078614B"/>
    <w:rsid w:val="00786662"/>
    <w:rsid w:val="007867BD"/>
    <w:rsid w:val="00786DD1"/>
    <w:rsid w:val="00786F61"/>
    <w:rsid w:val="00787330"/>
    <w:rsid w:val="007878C2"/>
    <w:rsid w:val="00790849"/>
    <w:rsid w:val="00790ABE"/>
    <w:rsid w:val="00791E04"/>
    <w:rsid w:val="00791F29"/>
    <w:rsid w:val="00792142"/>
    <w:rsid w:val="00792B26"/>
    <w:rsid w:val="007938E6"/>
    <w:rsid w:val="00793FBB"/>
    <w:rsid w:val="007961E2"/>
    <w:rsid w:val="00796A54"/>
    <w:rsid w:val="007974F6"/>
    <w:rsid w:val="007976D6"/>
    <w:rsid w:val="00797FDD"/>
    <w:rsid w:val="007A05A5"/>
    <w:rsid w:val="007A06EB"/>
    <w:rsid w:val="007A0E22"/>
    <w:rsid w:val="007A0EBD"/>
    <w:rsid w:val="007A209B"/>
    <w:rsid w:val="007A2478"/>
    <w:rsid w:val="007A2AF4"/>
    <w:rsid w:val="007A3288"/>
    <w:rsid w:val="007A36D8"/>
    <w:rsid w:val="007A3BF7"/>
    <w:rsid w:val="007A5537"/>
    <w:rsid w:val="007A56B5"/>
    <w:rsid w:val="007A6A97"/>
    <w:rsid w:val="007A743B"/>
    <w:rsid w:val="007B0808"/>
    <w:rsid w:val="007B0B2E"/>
    <w:rsid w:val="007B16A4"/>
    <w:rsid w:val="007B21E4"/>
    <w:rsid w:val="007B276E"/>
    <w:rsid w:val="007B2AED"/>
    <w:rsid w:val="007B2CD1"/>
    <w:rsid w:val="007B2E08"/>
    <w:rsid w:val="007B31D3"/>
    <w:rsid w:val="007B33B5"/>
    <w:rsid w:val="007B3486"/>
    <w:rsid w:val="007B399B"/>
    <w:rsid w:val="007B4215"/>
    <w:rsid w:val="007B494E"/>
    <w:rsid w:val="007B5CFE"/>
    <w:rsid w:val="007B6237"/>
    <w:rsid w:val="007C103D"/>
    <w:rsid w:val="007C2430"/>
    <w:rsid w:val="007C3726"/>
    <w:rsid w:val="007C5919"/>
    <w:rsid w:val="007C5CE6"/>
    <w:rsid w:val="007C60E3"/>
    <w:rsid w:val="007C668F"/>
    <w:rsid w:val="007C76B2"/>
    <w:rsid w:val="007D0A2E"/>
    <w:rsid w:val="007D23A6"/>
    <w:rsid w:val="007D746B"/>
    <w:rsid w:val="007D7A30"/>
    <w:rsid w:val="007E0F25"/>
    <w:rsid w:val="007E10DA"/>
    <w:rsid w:val="007E21BB"/>
    <w:rsid w:val="007E375F"/>
    <w:rsid w:val="007E379B"/>
    <w:rsid w:val="007E3E5E"/>
    <w:rsid w:val="007E5562"/>
    <w:rsid w:val="007E6C83"/>
    <w:rsid w:val="007E6C90"/>
    <w:rsid w:val="007E7216"/>
    <w:rsid w:val="007F013C"/>
    <w:rsid w:val="007F1338"/>
    <w:rsid w:val="007F38E2"/>
    <w:rsid w:val="007F59E6"/>
    <w:rsid w:val="00800028"/>
    <w:rsid w:val="00801C16"/>
    <w:rsid w:val="00802AEA"/>
    <w:rsid w:val="008032DE"/>
    <w:rsid w:val="0080379F"/>
    <w:rsid w:val="008055FA"/>
    <w:rsid w:val="00811684"/>
    <w:rsid w:val="00811E64"/>
    <w:rsid w:val="00811F53"/>
    <w:rsid w:val="008152CD"/>
    <w:rsid w:val="0081609B"/>
    <w:rsid w:val="00816104"/>
    <w:rsid w:val="00816D38"/>
    <w:rsid w:val="00816EFD"/>
    <w:rsid w:val="00816FD6"/>
    <w:rsid w:val="0081725F"/>
    <w:rsid w:val="00821576"/>
    <w:rsid w:val="00821E09"/>
    <w:rsid w:val="008249F0"/>
    <w:rsid w:val="008273D1"/>
    <w:rsid w:val="008313DA"/>
    <w:rsid w:val="00832BDA"/>
    <w:rsid w:val="00833481"/>
    <w:rsid w:val="00833FDE"/>
    <w:rsid w:val="0083407D"/>
    <w:rsid w:val="00834AA0"/>
    <w:rsid w:val="00835161"/>
    <w:rsid w:val="00835E3D"/>
    <w:rsid w:val="0083626A"/>
    <w:rsid w:val="0083648E"/>
    <w:rsid w:val="008404FA"/>
    <w:rsid w:val="00840A85"/>
    <w:rsid w:val="00842BF6"/>
    <w:rsid w:val="00843334"/>
    <w:rsid w:val="0084355E"/>
    <w:rsid w:val="00843C56"/>
    <w:rsid w:val="0084405B"/>
    <w:rsid w:val="008451D7"/>
    <w:rsid w:val="008457C8"/>
    <w:rsid w:val="0084762F"/>
    <w:rsid w:val="0084797C"/>
    <w:rsid w:val="00847E89"/>
    <w:rsid w:val="0085084B"/>
    <w:rsid w:val="00850EAD"/>
    <w:rsid w:val="00850F13"/>
    <w:rsid w:val="008513E6"/>
    <w:rsid w:val="00852BE5"/>
    <w:rsid w:val="00853625"/>
    <w:rsid w:val="00853B9E"/>
    <w:rsid w:val="0085756F"/>
    <w:rsid w:val="008609BE"/>
    <w:rsid w:val="00860B6E"/>
    <w:rsid w:val="0086191E"/>
    <w:rsid w:val="00862E40"/>
    <w:rsid w:val="00862F91"/>
    <w:rsid w:val="008633A3"/>
    <w:rsid w:val="008649BE"/>
    <w:rsid w:val="008659FE"/>
    <w:rsid w:val="008660FF"/>
    <w:rsid w:val="00866D3A"/>
    <w:rsid w:val="00867C8F"/>
    <w:rsid w:val="00871990"/>
    <w:rsid w:val="0087244F"/>
    <w:rsid w:val="00873490"/>
    <w:rsid w:val="00873536"/>
    <w:rsid w:val="00873B60"/>
    <w:rsid w:val="00874E99"/>
    <w:rsid w:val="00875721"/>
    <w:rsid w:val="00876B10"/>
    <w:rsid w:val="00877E23"/>
    <w:rsid w:val="00877EBD"/>
    <w:rsid w:val="00881487"/>
    <w:rsid w:val="008814CB"/>
    <w:rsid w:val="00882D83"/>
    <w:rsid w:val="00882FDA"/>
    <w:rsid w:val="00884672"/>
    <w:rsid w:val="0088479E"/>
    <w:rsid w:val="0088514B"/>
    <w:rsid w:val="0089195A"/>
    <w:rsid w:val="00892610"/>
    <w:rsid w:val="00892A46"/>
    <w:rsid w:val="00893F37"/>
    <w:rsid w:val="00894701"/>
    <w:rsid w:val="0089571A"/>
    <w:rsid w:val="00896B31"/>
    <w:rsid w:val="008A0735"/>
    <w:rsid w:val="008A1C30"/>
    <w:rsid w:val="008A21F0"/>
    <w:rsid w:val="008A3EE6"/>
    <w:rsid w:val="008A6EAF"/>
    <w:rsid w:val="008B0D85"/>
    <w:rsid w:val="008B0F11"/>
    <w:rsid w:val="008B247E"/>
    <w:rsid w:val="008B24BC"/>
    <w:rsid w:val="008B2A41"/>
    <w:rsid w:val="008B4174"/>
    <w:rsid w:val="008B6704"/>
    <w:rsid w:val="008B6866"/>
    <w:rsid w:val="008B6ECD"/>
    <w:rsid w:val="008B78FF"/>
    <w:rsid w:val="008B7A71"/>
    <w:rsid w:val="008B7B3B"/>
    <w:rsid w:val="008B7BF4"/>
    <w:rsid w:val="008C24A8"/>
    <w:rsid w:val="008C520A"/>
    <w:rsid w:val="008C55C0"/>
    <w:rsid w:val="008C60D0"/>
    <w:rsid w:val="008C68D8"/>
    <w:rsid w:val="008C76F6"/>
    <w:rsid w:val="008C7D9A"/>
    <w:rsid w:val="008D05E1"/>
    <w:rsid w:val="008D0D66"/>
    <w:rsid w:val="008D1426"/>
    <w:rsid w:val="008D18D2"/>
    <w:rsid w:val="008D4CBC"/>
    <w:rsid w:val="008D511B"/>
    <w:rsid w:val="008D5CB0"/>
    <w:rsid w:val="008D6EF4"/>
    <w:rsid w:val="008D74A1"/>
    <w:rsid w:val="008D760C"/>
    <w:rsid w:val="008E1C3B"/>
    <w:rsid w:val="008E3099"/>
    <w:rsid w:val="008E489C"/>
    <w:rsid w:val="008E5041"/>
    <w:rsid w:val="008E508D"/>
    <w:rsid w:val="008F0203"/>
    <w:rsid w:val="008F06D1"/>
    <w:rsid w:val="008F1295"/>
    <w:rsid w:val="008F1553"/>
    <w:rsid w:val="008F1732"/>
    <w:rsid w:val="008F3929"/>
    <w:rsid w:val="008F3C4B"/>
    <w:rsid w:val="008F3EAA"/>
    <w:rsid w:val="008F3EE1"/>
    <w:rsid w:val="008F4994"/>
    <w:rsid w:val="008F50E1"/>
    <w:rsid w:val="008F7A65"/>
    <w:rsid w:val="00901438"/>
    <w:rsid w:val="0090211D"/>
    <w:rsid w:val="00902AE1"/>
    <w:rsid w:val="00902D27"/>
    <w:rsid w:val="009046F8"/>
    <w:rsid w:val="00904903"/>
    <w:rsid w:val="00905759"/>
    <w:rsid w:val="00905E5D"/>
    <w:rsid w:val="00907131"/>
    <w:rsid w:val="00907762"/>
    <w:rsid w:val="00907887"/>
    <w:rsid w:val="00907AB7"/>
    <w:rsid w:val="00907F61"/>
    <w:rsid w:val="00910659"/>
    <w:rsid w:val="009114E2"/>
    <w:rsid w:val="0091157E"/>
    <w:rsid w:val="00913196"/>
    <w:rsid w:val="00915395"/>
    <w:rsid w:val="00915914"/>
    <w:rsid w:val="00916448"/>
    <w:rsid w:val="00916558"/>
    <w:rsid w:val="00916CAC"/>
    <w:rsid w:val="00917614"/>
    <w:rsid w:val="00917AE1"/>
    <w:rsid w:val="0092111E"/>
    <w:rsid w:val="009212FB"/>
    <w:rsid w:val="0092215D"/>
    <w:rsid w:val="00923228"/>
    <w:rsid w:val="00927ED0"/>
    <w:rsid w:val="009306D5"/>
    <w:rsid w:val="00932B4A"/>
    <w:rsid w:val="00932D8F"/>
    <w:rsid w:val="00932FD9"/>
    <w:rsid w:val="0093360C"/>
    <w:rsid w:val="00933C0D"/>
    <w:rsid w:val="00933CCE"/>
    <w:rsid w:val="00933E1D"/>
    <w:rsid w:val="00934545"/>
    <w:rsid w:val="0093637F"/>
    <w:rsid w:val="009367F6"/>
    <w:rsid w:val="009376A2"/>
    <w:rsid w:val="009378C9"/>
    <w:rsid w:val="0094077F"/>
    <w:rsid w:val="009448AC"/>
    <w:rsid w:val="009449AD"/>
    <w:rsid w:val="009463BE"/>
    <w:rsid w:val="00947116"/>
    <w:rsid w:val="0094784D"/>
    <w:rsid w:val="009504B9"/>
    <w:rsid w:val="00950BCA"/>
    <w:rsid w:val="00950C4F"/>
    <w:rsid w:val="009534BA"/>
    <w:rsid w:val="0095406B"/>
    <w:rsid w:val="009553CD"/>
    <w:rsid w:val="00956387"/>
    <w:rsid w:val="009569C0"/>
    <w:rsid w:val="00956DD5"/>
    <w:rsid w:val="00960EC2"/>
    <w:rsid w:val="0096232C"/>
    <w:rsid w:val="00962C72"/>
    <w:rsid w:val="00963381"/>
    <w:rsid w:val="00963EF0"/>
    <w:rsid w:val="009649CA"/>
    <w:rsid w:val="00965713"/>
    <w:rsid w:val="00966E39"/>
    <w:rsid w:val="00967531"/>
    <w:rsid w:val="009675BB"/>
    <w:rsid w:val="00971B46"/>
    <w:rsid w:val="00971CB8"/>
    <w:rsid w:val="0097280D"/>
    <w:rsid w:val="00972C2C"/>
    <w:rsid w:val="00973832"/>
    <w:rsid w:val="00975BE1"/>
    <w:rsid w:val="00976B0E"/>
    <w:rsid w:val="00976FD0"/>
    <w:rsid w:val="00977444"/>
    <w:rsid w:val="00980232"/>
    <w:rsid w:val="00980725"/>
    <w:rsid w:val="0098081C"/>
    <w:rsid w:val="00980E7E"/>
    <w:rsid w:val="009815E7"/>
    <w:rsid w:val="00982450"/>
    <w:rsid w:val="0098492D"/>
    <w:rsid w:val="00986037"/>
    <w:rsid w:val="00986141"/>
    <w:rsid w:val="0098629D"/>
    <w:rsid w:val="00986B80"/>
    <w:rsid w:val="0098792E"/>
    <w:rsid w:val="00987AB1"/>
    <w:rsid w:val="00987F9A"/>
    <w:rsid w:val="00990465"/>
    <w:rsid w:val="00992E04"/>
    <w:rsid w:val="00993781"/>
    <w:rsid w:val="009944A7"/>
    <w:rsid w:val="009961A0"/>
    <w:rsid w:val="00996BEA"/>
    <w:rsid w:val="00997148"/>
    <w:rsid w:val="009A057C"/>
    <w:rsid w:val="009A0E2B"/>
    <w:rsid w:val="009A1F20"/>
    <w:rsid w:val="009A223D"/>
    <w:rsid w:val="009A2B41"/>
    <w:rsid w:val="009A2C2E"/>
    <w:rsid w:val="009A2D36"/>
    <w:rsid w:val="009A2E2F"/>
    <w:rsid w:val="009A3178"/>
    <w:rsid w:val="009A325C"/>
    <w:rsid w:val="009A4393"/>
    <w:rsid w:val="009A67F2"/>
    <w:rsid w:val="009A7293"/>
    <w:rsid w:val="009B0154"/>
    <w:rsid w:val="009B0168"/>
    <w:rsid w:val="009B382F"/>
    <w:rsid w:val="009B3D37"/>
    <w:rsid w:val="009B41F7"/>
    <w:rsid w:val="009B4222"/>
    <w:rsid w:val="009B49D5"/>
    <w:rsid w:val="009B5346"/>
    <w:rsid w:val="009B5487"/>
    <w:rsid w:val="009B62A5"/>
    <w:rsid w:val="009B64F9"/>
    <w:rsid w:val="009B6FA9"/>
    <w:rsid w:val="009B7879"/>
    <w:rsid w:val="009C02A6"/>
    <w:rsid w:val="009C0547"/>
    <w:rsid w:val="009C0652"/>
    <w:rsid w:val="009C1C37"/>
    <w:rsid w:val="009C6548"/>
    <w:rsid w:val="009C7365"/>
    <w:rsid w:val="009D02AB"/>
    <w:rsid w:val="009D0798"/>
    <w:rsid w:val="009D167F"/>
    <w:rsid w:val="009D1F2E"/>
    <w:rsid w:val="009D21DA"/>
    <w:rsid w:val="009D2E02"/>
    <w:rsid w:val="009D3947"/>
    <w:rsid w:val="009D5079"/>
    <w:rsid w:val="009D50B5"/>
    <w:rsid w:val="009D54EC"/>
    <w:rsid w:val="009D6C75"/>
    <w:rsid w:val="009D7B93"/>
    <w:rsid w:val="009E023F"/>
    <w:rsid w:val="009E0299"/>
    <w:rsid w:val="009E0FD4"/>
    <w:rsid w:val="009E1BBC"/>
    <w:rsid w:val="009E2D5F"/>
    <w:rsid w:val="009E4342"/>
    <w:rsid w:val="009E4CF4"/>
    <w:rsid w:val="009E5918"/>
    <w:rsid w:val="009E5CAC"/>
    <w:rsid w:val="009E6464"/>
    <w:rsid w:val="009E756C"/>
    <w:rsid w:val="009F05AD"/>
    <w:rsid w:val="009F1738"/>
    <w:rsid w:val="009F1846"/>
    <w:rsid w:val="009F2898"/>
    <w:rsid w:val="009F3036"/>
    <w:rsid w:val="009F30B2"/>
    <w:rsid w:val="009F3515"/>
    <w:rsid w:val="009F37BA"/>
    <w:rsid w:val="009F3ABB"/>
    <w:rsid w:val="009F566F"/>
    <w:rsid w:val="009F5B12"/>
    <w:rsid w:val="00A00600"/>
    <w:rsid w:val="00A00E56"/>
    <w:rsid w:val="00A02176"/>
    <w:rsid w:val="00A02EEF"/>
    <w:rsid w:val="00A0384A"/>
    <w:rsid w:val="00A03D97"/>
    <w:rsid w:val="00A0456A"/>
    <w:rsid w:val="00A04799"/>
    <w:rsid w:val="00A04840"/>
    <w:rsid w:val="00A04B8A"/>
    <w:rsid w:val="00A067F9"/>
    <w:rsid w:val="00A06B7C"/>
    <w:rsid w:val="00A101DB"/>
    <w:rsid w:val="00A1031C"/>
    <w:rsid w:val="00A10771"/>
    <w:rsid w:val="00A10DB7"/>
    <w:rsid w:val="00A12077"/>
    <w:rsid w:val="00A13ADE"/>
    <w:rsid w:val="00A13F60"/>
    <w:rsid w:val="00A1416E"/>
    <w:rsid w:val="00A143F2"/>
    <w:rsid w:val="00A21355"/>
    <w:rsid w:val="00A21364"/>
    <w:rsid w:val="00A216E8"/>
    <w:rsid w:val="00A21C44"/>
    <w:rsid w:val="00A22FE0"/>
    <w:rsid w:val="00A23620"/>
    <w:rsid w:val="00A237E5"/>
    <w:rsid w:val="00A23D2F"/>
    <w:rsid w:val="00A24187"/>
    <w:rsid w:val="00A250F6"/>
    <w:rsid w:val="00A25156"/>
    <w:rsid w:val="00A255CA"/>
    <w:rsid w:val="00A342FC"/>
    <w:rsid w:val="00A34691"/>
    <w:rsid w:val="00A35207"/>
    <w:rsid w:val="00A36074"/>
    <w:rsid w:val="00A3624F"/>
    <w:rsid w:val="00A40716"/>
    <w:rsid w:val="00A40BE8"/>
    <w:rsid w:val="00A40D52"/>
    <w:rsid w:val="00A4159A"/>
    <w:rsid w:val="00A4271D"/>
    <w:rsid w:val="00A4286D"/>
    <w:rsid w:val="00A44CBD"/>
    <w:rsid w:val="00A45993"/>
    <w:rsid w:val="00A45BED"/>
    <w:rsid w:val="00A462F5"/>
    <w:rsid w:val="00A46E42"/>
    <w:rsid w:val="00A50032"/>
    <w:rsid w:val="00A50E43"/>
    <w:rsid w:val="00A521E3"/>
    <w:rsid w:val="00A52A59"/>
    <w:rsid w:val="00A53839"/>
    <w:rsid w:val="00A53BBE"/>
    <w:rsid w:val="00A54ACF"/>
    <w:rsid w:val="00A55677"/>
    <w:rsid w:val="00A56444"/>
    <w:rsid w:val="00A621EA"/>
    <w:rsid w:val="00A6251D"/>
    <w:rsid w:val="00A62CFA"/>
    <w:rsid w:val="00A63530"/>
    <w:rsid w:val="00A637BE"/>
    <w:rsid w:val="00A64577"/>
    <w:rsid w:val="00A647FC"/>
    <w:rsid w:val="00A6494E"/>
    <w:rsid w:val="00A649D2"/>
    <w:rsid w:val="00A65421"/>
    <w:rsid w:val="00A71021"/>
    <w:rsid w:val="00A71DE3"/>
    <w:rsid w:val="00A72CCB"/>
    <w:rsid w:val="00A73740"/>
    <w:rsid w:val="00A74185"/>
    <w:rsid w:val="00A74E9E"/>
    <w:rsid w:val="00A753B2"/>
    <w:rsid w:val="00A768D6"/>
    <w:rsid w:val="00A81329"/>
    <w:rsid w:val="00A81515"/>
    <w:rsid w:val="00A81BAD"/>
    <w:rsid w:val="00A81DEA"/>
    <w:rsid w:val="00A828E0"/>
    <w:rsid w:val="00A83A03"/>
    <w:rsid w:val="00A844A1"/>
    <w:rsid w:val="00A8486F"/>
    <w:rsid w:val="00A85619"/>
    <w:rsid w:val="00A85640"/>
    <w:rsid w:val="00A85645"/>
    <w:rsid w:val="00A85DFF"/>
    <w:rsid w:val="00A85E29"/>
    <w:rsid w:val="00A87B79"/>
    <w:rsid w:val="00A90D55"/>
    <w:rsid w:val="00A912E8"/>
    <w:rsid w:val="00A91F80"/>
    <w:rsid w:val="00A93903"/>
    <w:rsid w:val="00A93936"/>
    <w:rsid w:val="00A93F87"/>
    <w:rsid w:val="00A94DBF"/>
    <w:rsid w:val="00A950F0"/>
    <w:rsid w:val="00A9634F"/>
    <w:rsid w:val="00A969C7"/>
    <w:rsid w:val="00A96CBA"/>
    <w:rsid w:val="00AA0010"/>
    <w:rsid w:val="00AA049D"/>
    <w:rsid w:val="00AA06CE"/>
    <w:rsid w:val="00AA0F77"/>
    <w:rsid w:val="00AA1720"/>
    <w:rsid w:val="00AA188E"/>
    <w:rsid w:val="00AA2D47"/>
    <w:rsid w:val="00AA30F7"/>
    <w:rsid w:val="00AA32B2"/>
    <w:rsid w:val="00AA333B"/>
    <w:rsid w:val="00AA3365"/>
    <w:rsid w:val="00AA3FBB"/>
    <w:rsid w:val="00AA5D14"/>
    <w:rsid w:val="00AA5F79"/>
    <w:rsid w:val="00AA612A"/>
    <w:rsid w:val="00AB113A"/>
    <w:rsid w:val="00AB1E01"/>
    <w:rsid w:val="00AB23C4"/>
    <w:rsid w:val="00AB3CAA"/>
    <w:rsid w:val="00AB4EAB"/>
    <w:rsid w:val="00AB5853"/>
    <w:rsid w:val="00AB5F79"/>
    <w:rsid w:val="00AB6369"/>
    <w:rsid w:val="00AC1D3C"/>
    <w:rsid w:val="00AC2A04"/>
    <w:rsid w:val="00AC2D4D"/>
    <w:rsid w:val="00AC2D56"/>
    <w:rsid w:val="00AC3FE7"/>
    <w:rsid w:val="00AC4BFA"/>
    <w:rsid w:val="00AC56CA"/>
    <w:rsid w:val="00AC62EE"/>
    <w:rsid w:val="00AD01A8"/>
    <w:rsid w:val="00AD040D"/>
    <w:rsid w:val="00AD0701"/>
    <w:rsid w:val="00AD21F9"/>
    <w:rsid w:val="00AD3E3D"/>
    <w:rsid w:val="00AD41F4"/>
    <w:rsid w:val="00AD4B5B"/>
    <w:rsid w:val="00AD6514"/>
    <w:rsid w:val="00AD675D"/>
    <w:rsid w:val="00AD678B"/>
    <w:rsid w:val="00AD67F3"/>
    <w:rsid w:val="00AD705F"/>
    <w:rsid w:val="00AD73F6"/>
    <w:rsid w:val="00AD7605"/>
    <w:rsid w:val="00AD7F3F"/>
    <w:rsid w:val="00AE058F"/>
    <w:rsid w:val="00AE10B6"/>
    <w:rsid w:val="00AE1558"/>
    <w:rsid w:val="00AE2F64"/>
    <w:rsid w:val="00AE3C0B"/>
    <w:rsid w:val="00AE456E"/>
    <w:rsid w:val="00AE5A50"/>
    <w:rsid w:val="00AE62EF"/>
    <w:rsid w:val="00AE6462"/>
    <w:rsid w:val="00AE7657"/>
    <w:rsid w:val="00AF045D"/>
    <w:rsid w:val="00AF0E5A"/>
    <w:rsid w:val="00AF20B7"/>
    <w:rsid w:val="00AF4876"/>
    <w:rsid w:val="00AF495B"/>
    <w:rsid w:val="00AF517B"/>
    <w:rsid w:val="00AF5A9B"/>
    <w:rsid w:val="00AF5E71"/>
    <w:rsid w:val="00AF71DA"/>
    <w:rsid w:val="00AF7AEF"/>
    <w:rsid w:val="00B0553B"/>
    <w:rsid w:val="00B07051"/>
    <w:rsid w:val="00B07498"/>
    <w:rsid w:val="00B077D0"/>
    <w:rsid w:val="00B07B05"/>
    <w:rsid w:val="00B10F60"/>
    <w:rsid w:val="00B10FAB"/>
    <w:rsid w:val="00B12878"/>
    <w:rsid w:val="00B12CB2"/>
    <w:rsid w:val="00B1313A"/>
    <w:rsid w:val="00B13F14"/>
    <w:rsid w:val="00B143B3"/>
    <w:rsid w:val="00B1498C"/>
    <w:rsid w:val="00B16923"/>
    <w:rsid w:val="00B16D89"/>
    <w:rsid w:val="00B16DE2"/>
    <w:rsid w:val="00B17FA2"/>
    <w:rsid w:val="00B20782"/>
    <w:rsid w:val="00B20A48"/>
    <w:rsid w:val="00B20BDC"/>
    <w:rsid w:val="00B222BE"/>
    <w:rsid w:val="00B2244F"/>
    <w:rsid w:val="00B23284"/>
    <w:rsid w:val="00B23472"/>
    <w:rsid w:val="00B25D99"/>
    <w:rsid w:val="00B2652D"/>
    <w:rsid w:val="00B26B2D"/>
    <w:rsid w:val="00B274DA"/>
    <w:rsid w:val="00B2758D"/>
    <w:rsid w:val="00B27C29"/>
    <w:rsid w:val="00B31327"/>
    <w:rsid w:val="00B31888"/>
    <w:rsid w:val="00B31DE7"/>
    <w:rsid w:val="00B32354"/>
    <w:rsid w:val="00B32C5B"/>
    <w:rsid w:val="00B330A6"/>
    <w:rsid w:val="00B332CD"/>
    <w:rsid w:val="00B338A8"/>
    <w:rsid w:val="00B33C67"/>
    <w:rsid w:val="00B33E7A"/>
    <w:rsid w:val="00B34CEB"/>
    <w:rsid w:val="00B352DE"/>
    <w:rsid w:val="00B3729E"/>
    <w:rsid w:val="00B406DC"/>
    <w:rsid w:val="00B40B13"/>
    <w:rsid w:val="00B41F0A"/>
    <w:rsid w:val="00B4202B"/>
    <w:rsid w:val="00B42260"/>
    <w:rsid w:val="00B42C42"/>
    <w:rsid w:val="00B43509"/>
    <w:rsid w:val="00B43A00"/>
    <w:rsid w:val="00B44749"/>
    <w:rsid w:val="00B451B4"/>
    <w:rsid w:val="00B45865"/>
    <w:rsid w:val="00B45B82"/>
    <w:rsid w:val="00B46330"/>
    <w:rsid w:val="00B50ACF"/>
    <w:rsid w:val="00B50E5B"/>
    <w:rsid w:val="00B50E6D"/>
    <w:rsid w:val="00B51AF7"/>
    <w:rsid w:val="00B51DF4"/>
    <w:rsid w:val="00B52B09"/>
    <w:rsid w:val="00B534DA"/>
    <w:rsid w:val="00B53A9A"/>
    <w:rsid w:val="00B53E28"/>
    <w:rsid w:val="00B5435E"/>
    <w:rsid w:val="00B548D8"/>
    <w:rsid w:val="00B55316"/>
    <w:rsid w:val="00B55FCD"/>
    <w:rsid w:val="00B6180B"/>
    <w:rsid w:val="00B6214F"/>
    <w:rsid w:val="00B62BDC"/>
    <w:rsid w:val="00B64AE4"/>
    <w:rsid w:val="00B65384"/>
    <w:rsid w:val="00B66B31"/>
    <w:rsid w:val="00B674B6"/>
    <w:rsid w:val="00B67C38"/>
    <w:rsid w:val="00B70D30"/>
    <w:rsid w:val="00B70FD1"/>
    <w:rsid w:val="00B71338"/>
    <w:rsid w:val="00B7171E"/>
    <w:rsid w:val="00B718AE"/>
    <w:rsid w:val="00B71A59"/>
    <w:rsid w:val="00B71B10"/>
    <w:rsid w:val="00B71C5D"/>
    <w:rsid w:val="00B7212B"/>
    <w:rsid w:val="00B72F7C"/>
    <w:rsid w:val="00B731E9"/>
    <w:rsid w:val="00B73351"/>
    <w:rsid w:val="00B736E8"/>
    <w:rsid w:val="00B74529"/>
    <w:rsid w:val="00B74749"/>
    <w:rsid w:val="00B74CA6"/>
    <w:rsid w:val="00B74EE7"/>
    <w:rsid w:val="00B752A0"/>
    <w:rsid w:val="00B762A3"/>
    <w:rsid w:val="00B76C10"/>
    <w:rsid w:val="00B77379"/>
    <w:rsid w:val="00B8021D"/>
    <w:rsid w:val="00B80D64"/>
    <w:rsid w:val="00B81E21"/>
    <w:rsid w:val="00B81F7D"/>
    <w:rsid w:val="00B8309D"/>
    <w:rsid w:val="00B8451E"/>
    <w:rsid w:val="00B84ACE"/>
    <w:rsid w:val="00B851F4"/>
    <w:rsid w:val="00B865EC"/>
    <w:rsid w:val="00B87041"/>
    <w:rsid w:val="00B87453"/>
    <w:rsid w:val="00B93535"/>
    <w:rsid w:val="00B95ADE"/>
    <w:rsid w:val="00B96212"/>
    <w:rsid w:val="00B96375"/>
    <w:rsid w:val="00B97132"/>
    <w:rsid w:val="00B973B2"/>
    <w:rsid w:val="00B97483"/>
    <w:rsid w:val="00BA0F4A"/>
    <w:rsid w:val="00BA1A88"/>
    <w:rsid w:val="00BA2CF6"/>
    <w:rsid w:val="00BA33B4"/>
    <w:rsid w:val="00BA5CA3"/>
    <w:rsid w:val="00BA68B0"/>
    <w:rsid w:val="00BA72B6"/>
    <w:rsid w:val="00BB1554"/>
    <w:rsid w:val="00BB1CE5"/>
    <w:rsid w:val="00BB239B"/>
    <w:rsid w:val="00BB2654"/>
    <w:rsid w:val="00BB3573"/>
    <w:rsid w:val="00BB3B30"/>
    <w:rsid w:val="00BB6625"/>
    <w:rsid w:val="00BB6FF6"/>
    <w:rsid w:val="00BB7525"/>
    <w:rsid w:val="00BC0566"/>
    <w:rsid w:val="00BC21F1"/>
    <w:rsid w:val="00BC2EC6"/>
    <w:rsid w:val="00BC3E4B"/>
    <w:rsid w:val="00BC54BA"/>
    <w:rsid w:val="00BC682D"/>
    <w:rsid w:val="00BC6B2B"/>
    <w:rsid w:val="00BC7263"/>
    <w:rsid w:val="00BD003B"/>
    <w:rsid w:val="00BD068E"/>
    <w:rsid w:val="00BD09A8"/>
    <w:rsid w:val="00BD0FF5"/>
    <w:rsid w:val="00BD1616"/>
    <w:rsid w:val="00BD1AA4"/>
    <w:rsid w:val="00BD1D9A"/>
    <w:rsid w:val="00BD36CA"/>
    <w:rsid w:val="00BD4FA2"/>
    <w:rsid w:val="00BD53B9"/>
    <w:rsid w:val="00BD5B0D"/>
    <w:rsid w:val="00BD79DC"/>
    <w:rsid w:val="00BE01A7"/>
    <w:rsid w:val="00BE1585"/>
    <w:rsid w:val="00BE1664"/>
    <w:rsid w:val="00BE2032"/>
    <w:rsid w:val="00BE296E"/>
    <w:rsid w:val="00BE2D9C"/>
    <w:rsid w:val="00BE34F0"/>
    <w:rsid w:val="00BE35E7"/>
    <w:rsid w:val="00BE387B"/>
    <w:rsid w:val="00BE40A7"/>
    <w:rsid w:val="00BE46B4"/>
    <w:rsid w:val="00BE4A5B"/>
    <w:rsid w:val="00BE4CB5"/>
    <w:rsid w:val="00BE6111"/>
    <w:rsid w:val="00BE628B"/>
    <w:rsid w:val="00BE6597"/>
    <w:rsid w:val="00BE6A7D"/>
    <w:rsid w:val="00BF00C1"/>
    <w:rsid w:val="00BF0707"/>
    <w:rsid w:val="00BF0901"/>
    <w:rsid w:val="00BF1805"/>
    <w:rsid w:val="00BF24FF"/>
    <w:rsid w:val="00BF3195"/>
    <w:rsid w:val="00BF3A87"/>
    <w:rsid w:val="00BF40EE"/>
    <w:rsid w:val="00BF5171"/>
    <w:rsid w:val="00BF5B55"/>
    <w:rsid w:val="00BF71DB"/>
    <w:rsid w:val="00BF732C"/>
    <w:rsid w:val="00BF78F3"/>
    <w:rsid w:val="00C0117B"/>
    <w:rsid w:val="00C02BC6"/>
    <w:rsid w:val="00C035FD"/>
    <w:rsid w:val="00C05A43"/>
    <w:rsid w:val="00C06BA0"/>
    <w:rsid w:val="00C07A56"/>
    <w:rsid w:val="00C07B56"/>
    <w:rsid w:val="00C11866"/>
    <w:rsid w:val="00C119CB"/>
    <w:rsid w:val="00C11FAC"/>
    <w:rsid w:val="00C13356"/>
    <w:rsid w:val="00C1423F"/>
    <w:rsid w:val="00C148A9"/>
    <w:rsid w:val="00C21583"/>
    <w:rsid w:val="00C23BF3"/>
    <w:rsid w:val="00C25405"/>
    <w:rsid w:val="00C2581D"/>
    <w:rsid w:val="00C2663F"/>
    <w:rsid w:val="00C26DB2"/>
    <w:rsid w:val="00C2742D"/>
    <w:rsid w:val="00C319B5"/>
    <w:rsid w:val="00C321C2"/>
    <w:rsid w:val="00C32EF5"/>
    <w:rsid w:val="00C35589"/>
    <w:rsid w:val="00C35642"/>
    <w:rsid w:val="00C35D79"/>
    <w:rsid w:val="00C35DF2"/>
    <w:rsid w:val="00C3614C"/>
    <w:rsid w:val="00C36530"/>
    <w:rsid w:val="00C36DFE"/>
    <w:rsid w:val="00C40172"/>
    <w:rsid w:val="00C40A6F"/>
    <w:rsid w:val="00C43BA1"/>
    <w:rsid w:val="00C43DF8"/>
    <w:rsid w:val="00C44FA0"/>
    <w:rsid w:val="00C45B6A"/>
    <w:rsid w:val="00C45CB3"/>
    <w:rsid w:val="00C4635C"/>
    <w:rsid w:val="00C465EA"/>
    <w:rsid w:val="00C47289"/>
    <w:rsid w:val="00C501AA"/>
    <w:rsid w:val="00C52F6C"/>
    <w:rsid w:val="00C535B2"/>
    <w:rsid w:val="00C55C48"/>
    <w:rsid w:val="00C569DD"/>
    <w:rsid w:val="00C56F66"/>
    <w:rsid w:val="00C57434"/>
    <w:rsid w:val="00C57DD0"/>
    <w:rsid w:val="00C60C46"/>
    <w:rsid w:val="00C61317"/>
    <w:rsid w:val="00C61660"/>
    <w:rsid w:val="00C61691"/>
    <w:rsid w:val="00C620E5"/>
    <w:rsid w:val="00C62705"/>
    <w:rsid w:val="00C63D62"/>
    <w:rsid w:val="00C6474C"/>
    <w:rsid w:val="00C647EF"/>
    <w:rsid w:val="00C6496C"/>
    <w:rsid w:val="00C65A34"/>
    <w:rsid w:val="00C66AF4"/>
    <w:rsid w:val="00C67E7A"/>
    <w:rsid w:val="00C7123A"/>
    <w:rsid w:val="00C71319"/>
    <w:rsid w:val="00C71DA3"/>
    <w:rsid w:val="00C7355C"/>
    <w:rsid w:val="00C7542B"/>
    <w:rsid w:val="00C76E61"/>
    <w:rsid w:val="00C76F52"/>
    <w:rsid w:val="00C76F97"/>
    <w:rsid w:val="00C77F6C"/>
    <w:rsid w:val="00C80518"/>
    <w:rsid w:val="00C8070B"/>
    <w:rsid w:val="00C80D0F"/>
    <w:rsid w:val="00C80D34"/>
    <w:rsid w:val="00C81F5F"/>
    <w:rsid w:val="00C824A0"/>
    <w:rsid w:val="00C82A1C"/>
    <w:rsid w:val="00C83040"/>
    <w:rsid w:val="00C83298"/>
    <w:rsid w:val="00C83609"/>
    <w:rsid w:val="00C844B6"/>
    <w:rsid w:val="00C85144"/>
    <w:rsid w:val="00C8541D"/>
    <w:rsid w:val="00C85A86"/>
    <w:rsid w:val="00C86B3D"/>
    <w:rsid w:val="00C86F59"/>
    <w:rsid w:val="00C87D2C"/>
    <w:rsid w:val="00C87EF5"/>
    <w:rsid w:val="00C95461"/>
    <w:rsid w:val="00C9575D"/>
    <w:rsid w:val="00C958BE"/>
    <w:rsid w:val="00C97469"/>
    <w:rsid w:val="00C97A39"/>
    <w:rsid w:val="00C97EAF"/>
    <w:rsid w:val="00CA0EE8"/>
    <w:rsid w:val="00CA10EC"/>
    <w:rsid w:val="00CA1BAF"/>
    <w:rsid w:val="00CA2016"/>
    <w:rsid w:val="00CA30A7"/>
    <w:rsid w:val="00CA4C7D"/>
    <w:rsid w:val="00CA594E"/>
    <w:rsid w:val="00CA5FAA"/>
    <w:rsid w:val="00CA63EC"/>
    <w:rsid w:val="00CA679B"/>
    <w:rsid w:val="00CA6895"/>
    <w:rsid w:val="00CB0692"/>
    <w:rsid w:val="00CB103C"/>
    <w:rsid w:val="00CB1292"/>
    <w:rsid w:val="00CB17AB"/>
    <w:rsid w:val="00CB1E96"/>
    <w:rsid w:val="00CB23F4"/>
    <w:rsid w:val="00CB2E10"/>
    <w:rsid w:val="00CB3439"/>
    <w:rsid w:val="00CB3FF4"/>
    <w:rsid w:val="00CB460C"/>
    <w:rsid w:val="00CB474E"/>
    <w:rsid w:val="00CB5000"/>
    <w:rsid w:val="00CB647C"/>
    <w:rsid w:val="00CB65E1"/>
    <w:rsid w:val="00CB6827"/>
    <w:rsid w:val="00CB6892"/>
    <w:rsid w:val="00CB6979"/>
    <w:rsid w:val="00CB6D6C"/>
    <w:rsid w:val="00CC0E43"/>
    <w:rsid w:val="00CC16CC"/>
    <w:rsid w:val="00CC17ED"/>
    <w:rsid w:val="00CC2877"/>
    <w:rsid w:val="00CC3398"/>
    <w:rsid w:val="00CC33D9"/>
    <w:rsid w:val="00CC3F58"/>
    <w:rsid w:val="00CC4AAE"/>
    <w:rsid w:val="00CC5062"/>
    <w:rsid w:val="00CC5DB0"/>
    <w:rsid w:val="00CC66DC"/>
    <w:rsid w:val="00CC6C04"/>
    <w:rsid w:val="00CC7CD0"/>
    <w:rsid w:val="00CD18A8"/>
    <w:rsid w:val="00CD2ED4"/>
    <w:rsid w:val="00CD30DB"/>
    <w:rsid w:val="00CD512A"/>
    <w:rsid w:val="00CD7D5E"/>
    <w:rsid w:val="00CD7E75"/>
    <w:rsid w:val="00CE045B"/>
    <w:rsid w:val="00CE10E7"/>
    <w:rsid w:val="00CE144C"/>
    <w:rsid w:val="00CE2820"/>
    <w:rsid w:val="00CE29F8"/>
    <w:rsid w:val="00CE2B45"/>
    <w:rsid w:val="00CE2C1C"/>
    <w:rsid w:val="00CE3CB4"/>
    <w:rsid w:val="00CE4077"/>
    <w:rsid w:val="00CE4502"/>
    <w:rsid w:val="00CE573E"/>
    <w:rsid w:val="00CE5F45"/>
    <w:rsid w:val="00CE6458"/>
    <w:rsid w:val="00CE6766"/>
    <w:rsid w:val="00CE6909"/>
    <w:rsid w:val="00CE6CC7"/>
    <w:rsid w:val="00CF0615"/>
    <w:rsid w:val="00CF0D23"/>
    <w:rsid w:val="00CF0D56"/>
    <w:rsid w:val="00CF1311"/>
    <w:rsid w:val="00CF146B"/>
    <w:rsid w:val="00CF1A01"/>
    <w:rsid w:val="00CF27F2"/>
    <w:rsid w:val="00CF34C8"/>
    <w:rsid w:val="00CF3685"/>
    <w:rsid w:val="00CF3DE9"/>
    <w:rsid w:val="00CF414F"/>
    <w:rsid w:val="00CF47EB"/>
    <w:rsid w:val="00CF7C84"/>
    <w:rsid w:val="00D011E3"/>
    <w:rsid w:val="00D01367"/>
    <w:rsid w:val="00D02EFF"/>
    <w:rsid w:val="00D030BF"/>
    <w:rsid w:val="00D03B1C"/>
    <w:rsid w:val="00D03C90"/>
    <w:rsid w:val="00D03E7D"/>
    <w:rsid w:val="00D051E3"/>
    <w:rsid w:val="00D0532A"/>
    <w:rsid w:val="00D06281"/>
    <w:rsid w:val="00D0670B"/>
    <w:rsid w:val="00D06A82"/>
    <w:rsid w:val="00D06B3F"/>
    <w:rsid w:val="00D10FA5"/>
    <w:rsid w:val="00D11104"/>
    <w:rsid w:val="00D1201B"/>
    <w:rsid w:val="00D137FD"/>
    <w:rsid w:val="00D13ACF"/>
    <w:rsid w:val="00D144EB"/>
    <w:rsid w:val="00D14713"/>
    <w:rsid w:val="00D154F1"/>
    <w:rsid w:val="00D15760"/>
    <w:rsid w:val="00D157DB"/>
    <w:rsid w:val="00D16183"/>
    <w:rsid w:val="00D16386"/>
    <w:rsid w:val="00D16881"/>
    <w:rsid w:val="00D172B6"/>
    <w:rsid w:val="00D176E4"/>
    <w:rsid w:val="00D17E45"/>
    <w:rsid w:val="00D20602"/>
    <w:rsid w:val="00D21CD0"/>
    <w:rsid w:val="00D221F2"/>
    <w:rsid w:val="00D22950"/>
    <w:rsid w:val="00D24470"/>
    <w:rsid w:val="00D25718"/>
    <w:rsid w:val="00D26624"/>
    <w:rsid w:val="00D272A5"/>
    <w:rsid w:val="00D278FC"/>
    <w:rsid w:val="00D30CEE"/>
    <w:rsid w:val="00D31D8F"/>
    <w:rsid w:val="00D32B73"/>
    <w:rsid w:val="00D3323D"/>
    <w:rsid w:val="00D3484B"/>
    <w:rsid w:val="00D3539A"/>
    <w:rsid w:val="00D36725"/>
    <w:rsid w:val="00D3673E"/>
    <w:rsid w:val="00D37AA1"/>
    <w:rsid w:val="00D406FD"/>
    <w:rsid w:val="00D40777"/>
    <w:rsid w:val="00D40A4C"/>
    <w:rsid w:val="00D41975"/>
    <w:rsid w:val="00D42130"/>
    <w:rsid w:val="00D438DE"/>
    <w:rsid w:val="00D43A4C"/>
    <w:rsid w:val="00D43C18"/>
    <w:rsid w:val="00D44E98"/>
    <w:rsid w:val="00D46228"/>
    <w:rsid w:val="00D46B3B"/>
    <w:rsid w:val="00D472E2"/>
    <w:rsid w:val="00D47828"/>
    <w:rsid w:val="00D47D7F"/>
    <w:rsid w:val="00D50DCF"/>
    <w:rsid w:val="00D51F6E"/>
    <w:rsid w:val="00D53177"/>
    <w:rsid w:val="00D54030"/>
    <w:rsid w:val="00D540EB"/>
    <w:rsid w:val="00D54BE9"/>
    <w:rsid w:val="00D556AC"/>
    <w:rsid w:val="00D556E2"/>
    <w:rsid w:val="00D559B1"/>
    <w:rsid w:val="00D57726"/>
    <w:rsid w:val="00D57AC9"/>
    <w:rsid w:val="00D604CA"/>
    <w:rsid w:val="00D62B06"/>
    <w:rsid w:val="00D62C85"/>
    <w:rsid w:val="00D62F2A"/>
    <w:rsid w:val="00D654BA"/>
    <w:rsid w:val="00D659A1"/>
    <w:rsid w:val="00D66193"/>
    <w:rsid w:val="00D661DA"/>
    <w:rsid w:val="00D667D8"/>
    <w:rsid w:val="00D66BC7"/>
    <w:rsid w:val="00D679A8"/>
    <w:rsid w:val="00D67CCD"/>
    <w:rsid w:val="00D7049E"/>
    <w:rsid w:val="00D7129A"/>
    <w:rsid w:val="00D725ED"/>
    <w:rsid w:val="00D73DA4"/>
    <w:rsid w:val="00D740DC"/>
    <w:rsid w:val="00D742B1"/>
    <w:rsid w:val="00D745D4"/>
    <w:rsid w:val="00D7625E"/>
    <w:rsid w:val="00D76DCD"/>
    <w:rsid w:val="00D7734C"/>
    <w:rsid w:val="00D80C97"/>
    <w:rsid w:val="00D81694"/>
    <w:rsid w:val="00D819D8"/>
    <w:rsid w:val="00D8353B"/>
    <w:rsid w:val="00D8395A"/>
    <w:rsid w:val="00D85DA4"/>
    <w:rsid w:val="00D90F5E"/>
    <w:rsid w:val="00D9179C"/>
    <w:rsid w:val="00D9347B"/>
    <w:rsid w:val="00D93F8A"/>
    <w:rsid w:val="00D9576D"/>
    <w:rsid w:val="00D957B8"/>
    <w:rsid w:val="00D95B4F"/>
    <w:rsid w:val="00D970B7"/>
    <w:rsid w:val="00D9710D"/>
    <w:rsid w:val="00D97A68"/>
    <w:rsid w:val="00D97DEB"/>
    <w:rsid w:val="00DA27F0"/>
    <w:rsid w:val="00DA3483"/>
    <w:rsid w:val="00DA3E98"/>
    <w:rsid w:val="00DA6379"/>
    <w:rsid w:val="00DA678B"/>
    <w:rsid w:val="00DA7D61"/>
    <w:rsid w:val="00DB037D"/>
    <w:rsid w:val="00DB047C"/>
    <w:rsid w:val="00DB07F6"/>
    <w:rsid w:val="00DB20E2"/>
    <w:rsid w:val="00DB3F3B"/>
    <w:rsid w:val="00DB4822"/>
    <w:rsid w:val="00DB4BDA"/>
    <w:rsid w:val="00DB4DE1"/>
    <w:rsid w:val="00DB52F0"/>
    <w:rsid w:val="00DB5421"/>
    <w:rsid w:val="00DB585F"/>
    <w:rsid w:val="00DB5B4A"/>
    <w:rsid w:val="00DB5CA5"/>
    <w:rsid w:val="00DB61AD"/>
    <w:rsid w:val="00DB635F"/>
    <w:rsid w:val="00DB76B3"/>
    <w:rsid w:val="00DB79C7"/>
    <w:rsid w:val="00DB7F9B"/>
    <w:rsid w:val="00DC1ADD"/>
    <w:rsid w:val="00DC252C"/>
    <w:rsid w:val="00DC31CF"/>
    <w:rsid w:val="00DC3E26"/>
    <w:rsid w:val="00DC424F"/>
    <w:rsid w:val="00DC4A3D"/>
    <w:rsid w:val="00DC5C24"/>
    <w:rsid w:val="00DC5F21"/>
    <w:rsid w:val="00DC66BD"/>
    <w:rsid w:val="00DC6AFA"/>
    <w:rsid w:val="00DC710F"/>
    <w:rsid w:val="00DD00E4"/>
    <w:rsid w:val="00DD0759"/>
    <w:rsid w:val="00DD09E4"/>
    <w:rsid w:val="00DD1107"/>
    <w:rsid w:val="00DD28BD"/>
    <w:rsid w:val="00DD2B6C"/>
    <w:rsid w:val="00DD2FE2"/>
    <w:rsid w:val="00DD3310"/>
    <w:rsid w:val="00DD3B2B"/>
    <w:rsid w:val="00DD3E48"/>
    <w:rsid w:val="00DD4ABE"/>
    <w:rsid w:val="00DD560F"/>
    <w:rsid w:val="00DD57B7"/>
    <w:rsid w:val="00DD5FAC"/>
    <w:rsid w:val="00DD61F5"/>
    <w:rsid w:val="00DD67C5"/>
    <w:rsid w:val="00DE1729"/>
    <w:rsid w:val="00DE20F0"/>
    <w:rsid w:val="00DE2DB5"/>
    <w:rsid w:val="00DE2F73"/>
    <w:rsid w:val="00DE32B2"/>
    <w:rsid w:val="00DE4C4A"/>
    <w:rsid w:val="00DE509F"/>
    <w:rsid w:val="00DE5CE4"/>
    <w:rsid w:val="00DE6A0D"/>
    <w:rsid w:val="00DE70F2"/>
    <w:rsid w:val="00DE75E0"/>
    <w:rsid w:val="00DE76CC"/>
    <w:rsid w:val="00DE76D3"/>
    <w:rsid w:val="00DF0E9B"/>
    <w:rsid w:val="00DF1136"/>
    <w:rsid w:val="00DF11D5"/>
    <w:rsid w:val="00DF285A"/>
    <w:rsid w:val="00DF35C5"/>
    <w:rsid w:val="00DF3BEB"/>
    <w:rsid w:val="00DF3F70"/>
    <w:rsid w:val="00DF541B"/>
    <w:rsid w:val="00DF5981"/>
    <w:rsid w:val="00DF652B"/>
    <w:rsid w:val="00DF6FCC"/>
    <w:rsid w:val="00DF7565"/>
    <w:rsid w:val="00DF7DD4"/>
    <w:rsid w:val="00E0100A"/>
    <w:rsid w:val="00E02DD9"/>
    <w:rsid w:val="00E02F85"/>
    <w:rsid w:val="00E03DB0"/>
    <w:rsid w:val="00E03E53"/>
    <w:rsid w:val="00E050E3"/>
    <w:rsid w:val="00E06C2D"/>
    <w:rsid w:val="00E1030B"/>
    <w:rsid w:val="00E13197"/>
    <w:rsid w:val="00E13736"/>
    <w:rsid w:val="00E15D85"/>
    <w:rsid w:val="00E161FD"/>
    <w:rsid w:val="00E167C8"/>
    <w:rsid w:val="00E16F70"/>
    <w:rsid w:val="00E20639"/>
    <w:rsid w:val="00E21231"/>
    <w:rsid w:val="00E225FB"/>
    <w:rsid w:val="00E22C77"/>
    <w:rsid w:val="00E23BD6"/>
    <w:rsid w:val="00E23E2A"/>
    <w:rsid w:val="00E240E1"/>
    <w:rsid w:val="00E24885"/>
    <w:rsid w:val="00E25767"/>
    <w:rsid w:val="00E2747E"/>
    <w:rsid w:val="00E32ADE"/>
    <w:rsid w:val="00E32FD9"/>
    <w:rsid w:val="00E34385"/>
    <w:rsid w:val="00E34BE1"/>
    <w:rsid w:val="00E34BFD"/>
    <w:rsid w:val="00E3504C"/>
    <w:rsid w:val="00E352F7"/>
    <w:rsid w:val="00E356CE"/>
    <w:rsid w:val="00E369D2"/>
    <w:rsid w:val="00E419F1"/>
    <w:rsid w:val="00E423D5"/>
    <w:rsid w:val="00E42660"/>
    <w:rsid w:val="00E44D82"/>
    <w:rsid w:val="00E45124"/>
    <w:rsid w:val="00E45431"/>
    <w:rsid w:val="00E457A4"/>
    <w:rsid w:val="00E45E46"/>
    <w:rsid w:val="00E4614A"/>
    <w:rsid w:val="00E46B5C"/>
    <w:rsid w:val="00E46BA2"/>
    <w:rsid w:val="00E4737C"/>
    <w:rsid w:val="00E47884"/>
    <w:rsid w:val="00E51358"/>
    <w:rsid w:val="00E5159A"/>
    <w:rsid w:val="00E522C8"/>
    <w:rsid w:val="00E52E70"/>
    <w:rsid w:val="00E530C6"/>
    <w:rsid w:val="00E531E0"/>
    <w:rsid w:val="00E54C17"/>
    <w:rsid w:val="00E5505E"/>
    <w:rsid w:val="00E55C43"/>
    <w:rsid w:val="00E56033"/>
    <w:rsid w:val="00E577A5"/>
    <w:rsid w:val="00E61B8C"/>
    <w:rsid w:val="00E625D4"/>
    <w:rsid w:val="00E62A2A"/>
    <w:rsid w:val="00E64C81"/>
    <w:rsid w:val="00E65E3B"/>
    <w:rsid w:val="00E665CB"/>
    <w:rsid w:val="00E6695A"/>
    <w:rsid w:val="00E67A70"/>
    <w:rsid w:val="00E67DE2"/>
    <w:rsid w:val="00E712F0"/>
    <w:rsid w:val="00E71812"/>
    <w:rsid w:val="00E71DD4"/>
    <w:rsid w:val="00E72062"/>
    <w:rsid w:val="00E75040"/>
    <w:rsid w:val="00E75312"/>
    <w:rsid w:val="00E753D5"/>
    <w:rsid w:val="00E7588C"/>
    <w:rsid w:val="00E7594D"/>
    <w:rsid w:val="00E75E8D"/>
    <w:rsid w:val="00E7639A"/>
    <w:rsid w:val="00E76B54"/>
    <w:rsid w:val="00E812C3"/>
    <w:rsid w:val="00E82BBF"/>
    <w:rsid w:val="00E82D06"/>
    <w:rsid w:val="00E82EE1"/>
    <w:rsid w:val="00E83746"/>
    <w:rsid w:val="00E84747"/>
    <w:rsid w:val="00E855B0"/>
    <w:rsid w:val="00E85DCD"/>
    <w:rsid w:val="00E86F42"/>
    <w:rsid w:val="00E902A3"/>
    <w:rsid w:val="00E91681"/>
    <w:rsid w:val="00E91D5F"/>
    <w:rsid w:val="00E925B8"/>
    <w:rsid w:val="00E942E9"/>
    <w:rsid w:val="00E946F3"/>
    <w:rsid w:val="00E958A8"/>
    <w:rsid w:val="00E97F1C"/>
    <w:rsid w:val="00EA05D4"/>
    <w:rsid w:val="00EA18BE"/>
    <w:rsid w:val="00EA23E5"/>
    <w:rsid w:val="00EA2B2F"/>
    <w:rsid w:val="00EA3177"/>
    <w:rsid w:val="00EA3F0E"/>
    <w:rsid w:val="00EA4229"/>
    <w:rsid w:val="00EA4618"/>
    <w:rsid w:val="00EA5FCF"/>
    <w:rsid w:val="00EA713E"/>
    <w:rsid w:val="00EA74D9"/>
    <w:rsid w:val="00EA7DD4"/>
    <w:rsid w:val="00EB087B"/>
    <w:rsid w:val="00EB0CF3"/>
    <w:rsid w:val="00EB12ED"/>
    <w:rsid w:val="00EB15AB"/>
    <w:rsid w:val="00EB368C"/>
    <w:rsid w:val="00EB4E08"/>
    <w:rsid w:val="00EB4F59"/>
    <w:rsid w:val="00EB52C6"/>
    <w:rsid w:val="00EB54CA"/>
    <w:rsid w:val="00EB62E7"/>
    <w:rsid w:val="00EB65E4"/>
    <w:rsid w:val="00EB7C0C"/>
    <w:rsid w:val="00EC138C"/>
    <w:rsid w:val="00EC1F21"/>
    <w:rsid w:val="00EC22B1"/>
    <w:rsid w:val="00EC2892"/>
    <w:rsid w:val="00EC47A7"/>
    <w:rsid w:val="00EC51F5"/>
    <w:rsid w:val="00EC7216"/>
    <w:rsid w:val="00EC771E"/>
    <w:rsid w:val="00EC773B"/>
    <w:rsid w:val="00ED032C"/>
    <w:rsid w:val="00ED0A65"/>
    <w:rsid w:val="00ED115D"/>
    <w:rsid w:val="00ED152A"/>
    <w:rsid w:val="00ED197F"/>
    <w:rsid w:val="00ED1A0D"/>
    <w:rsid w:val="00ED1AD6"/>
    <w:rsid w:val="00ED1B97"/>
    <w:rsid w:val="00ED1C8A"/>
    <w:rsid w:val="00ED2844"/>
    <w:rsid w:val="00ED32F1"/>
    <w:rsid w:val="00ED35C0"/>
    <w:rsid w:val="00ED5F89"/>
    <w:rsid w:val="00ED6AD9"/>
    <w:rsid w:val="00EE08C8"/>
    <w:rsid w:val="00EE2B13"/>
    <w:rsid w:val="00EE36F3"/>
    <w:rsid w:val="00EE3D2F"/>
    <w:rsid w:val="00EE426B"/>
    <w:rsid w:val="00EE4CAE"/>
    <w:rsid w:val="00EE52D9"/>
    <w:rsid w:val="00EE560E"/>
    <w:rsid w:val="00EE5DEB"/>
    <w:rsid w:val="00EE636B"/>
    <w:rsid w:val="00EE69E7"/>
    <w:rsid w:val="00EF1927"/>
    <w:rsid w:val="00EF20C1"/>
    <w:rsid w:val="00EF245D"/>
    <w:rsid w:val="00EF32FC"/>
    <w:rsid w:val="00EF3C11"/>
    <w:rsid w:val="00EF3C90"/>
    <w:rsid w:val="00EF424E"/>
    <w:rsid w:val="00EF4686"/>
    <w:rsid w:val="00EF4E36"/>
    <w:rsid w:val="00EF672B"/>
    <w:rsid w:val="00EF6F37"/>
    <w:rsid w:val="00EF795A"/>
    <w:rsid w:val="00F010D1"/>
    <w:rsid w:val="00F0142E"/>
    <w:rsid w:val="00F01D94"/>
    <w:rsid w:val="00F02D0B"/>
    <w:rsid w:val="00F03A9D"/>
    <w:rsid w:val="00F0651C"/>
    <w:rsid w:val="00F07767"/>
    <w:rsid w:val="00F10376"/>
    <w:rsid w:val="00F1134E"/>
    <w:rsid w:val="00F120C8"/>
    <w:rsid w:val="00F1314E"/>
    <w:rsid w:val="00F138C6"/>
    <w:rsid w:val="00F15344"/>
    <w:rsid w:val="00F15818"/>
    <w:rsid w:val="00F16655"/>
    <w:rsid w:val="00F16D58"/>
    <w:rsid w:val="00F17081"/>
    <w:rsid w:val="00F1722D"/>
    <w:rsid w:val="00F17D5B"/>
    <w:rsid w:val="00F2208A"/>
    <w:rsid w:val="00F220F7"/>
    <w:rsid w:val="00F23A4B"/>
    <w:rsid w:val="00F248F9"/>
    <w:rsid w:val="00F25924"/>
    <w:rsid w:val="00F26388"/>
    <w:rsid w:val="00F30DBC"/>
    <w:rsid w:val="00F32046"/>
    <w:rsid w:val="00F336D5"/>
    <w:rsid w:val="00F34441"/>
    <w:rsid w:val="00F3575C"/>
    <w:rsid w:val="00F35D38"/>
    <w:rsid w:val="00F36FBF"/>
    <w:rsid w:val="00F37DCC"/>
    <w:rsid w:val="00F40669"/>
    <w:rsid w:val="00F4183A"/>
    <w:rsid w:val="00F41F0A"/>
    <w:rsid w:val="00F4240D"/>
    <w:rsid w:val="00F42640"/>
    <w:rsid w:val="00F42C17"/>
    <w:rsid w:val="00F43A7E"/>
    <w:rsid w:val="00F45335"/>
    <w:rsid w:val="00F47613"/>
    <w:rsid w:val="00F50123"/>
    <w:rsid w:val="00F50CB0"/>
    <w:rsid w:val="00F51670"/>
    <w:rsid w:val="00F51EAB"/>
    <w:rsid w:val="00F52E00"/>
    <w:rsid w:val="00F530F6"/>
    <w:rsid w:val="00F5310C"/>
    <w:rsid w:val="00F536EA"/>
    <w:rsid w:val="00F53A6F"/>
    <w:rsid w:val="00F54BA5"/>
    <w:rsid w:val="00F551E2"/>
    <w:rsid w:val="00F5571A"/>
    <w:rsid w:val="00F564CC"/>
    <w:rsid w:val="00F57772"/>
    <w:rsid w:val="00F60CF0"/>
    <w:rsid w:val="00F60E2C"/>
    <w:rsid w:val="00F6160E"/>
    <w:rsid w:val="00F61A17"/>
    <w:rsid w:val="00F61EEF"/>
    <w:rsid w:val="00F62054"/>
    <w:rsid w:val="00F62342"/>
    <w:rsid w:val="00F6278D"/>
    <w:rsid w:val="00F62E9D"/>
    <w:rsid w:val="00F63892"/>
    <w:rsid w:val="00F64C4D"/>
    <w:rsid w:val="00F66050"/>
    <w:rsid w:val="00F662BB"/>
    <w:rsid w:val="00F66BB1"/>
    <w:rsid w:val="00F66D87"/>
    <w:rsid w:val="00F670FD"/>
    <w:rsid w:val="00F7043D"/>
    <w:rsid w:val="00F70874"/>
    <w:rsid w:val="00F70CB8"/>
    <w:rsid w:val="00F71689"/>
    <w:rsid w:val="00F71FF6"/>
    <w:rsid w:val="00F72161"/>
    <w:rsid w:val="00F72DF1"/>
    <w:rsid w:val="00F74C83"/>
    <w:rsid w:val="00F7531B"/>
    <w:rsid w:val="00F804F2"/>
    <w:rsid w:val="00F853C2"/>
    <w:rsid w:val="00F85A60"/>
    <w:rsid w:val="00F85B80"/>
    <w:rsid w:val="00F86D8C"/>
    <w:rsid w:val="00F90017"/>
    <w:rsid w:val="00F906F8"/>
    <w:rsid w:val="00F9147A"/>
    <w:rsid w:val="00F9152B"/>
    <w:rsid w:val="00F916AE"/>
    <w:rsid w:val="00F91F1C"/>
    <w:rsid w:val="00F92604"/>
    <w:rsid w:val="00F9337B"/>
    <w:rsid w:val="00F936E8"/>
    <w:rsid w:val="00F958D3"/>
    <w:rsid w:val="00F9599A"/>
    <w:rsid w:val="00F959D1"/>
    <w:rsid w:val="00F96748"/>
    <w:rsid w:val="00F96C88"/>
    <w:rsid w:val="00F96CFC"/>
    <w:rsid w:val="00F97067"/>
    <w:rsid w:val="00F970DF"/>
    <w:rsid w:val="00FA0D74"/>
    <w:rsid w:val="00FA3B8E"/>
    <w:rsid w:val="00FA3B9E"/>
    <w:rsid w:val="00FA3CB6"/>
    <w:rsid w:val="00FA466B"/>
    <w:rsid w:val="00FA5B4E"/>
    <w:rsid w:val="00FA72A2"/>
    <w:rsid w:val="00FA7F01"/>
    <w:rsid w:val="00FB01D7"/>
    <w:rsid w:val="00FB1B59"/>
    <w:rsid w:val="00FB23AA"/>
    <w:rsid w:val="00FB298E"/>
    <w:rsid w:val="00FB3330"/>
    <w:rsid w:val="00FB40BF"/>
    <w:rsid w:val="00FB56E2"/>
    <w:rsid w:val="00FB5FDF"/>
    <w:rsid w:val="00FB6594"/>
    <w:rsid w:val="00FB68A1"/>
    <w:rsid w:val="00FB7147"/>
    <w:rsid w:val="00FC1B42"/>
    <w:rsid w:val="00FC2180"/>
    <w:rsid w:val="00FC28A2"/>
    <w:rsid w:val="00FC28BA"/>
    <w:rsid w:val="00FC3EB3"/>
    <w:rsid w:val="00FC3F57"/>
    <w:rsid w:val="00FC498C"/>
    <w:rsid w:val="00FC639B"/>
    <w:rsid w:val="00FC793D"/>
    <w:rsid w:val="00FC7E4B"/>
    <w:rsid w:val="00FD069F"/>
    <w:rsid w:val="00FD0A17"/>
    <w:rsid w:val="00FD0E6E"/>
    <w:rsid w:val="00FD10C5"/>
    <w:rsid w:val="00FD122E"/>
    <w:rsid w:val="00FD17BC"/>
    <w:rsid w:val="00FD1B7E"/>
    <w:rsid w:val="00FD1B8B"/>
    <w:rsid w:val="00FD2072"/>
    <w:rsid w:val="00FD24C7"/>
    <w:rsid w:val="00FD24C9"/>
    <w:rsid w:val="00FD32A1"/>
    <w:rsid w:val="00FD3D4D"/>
    <w:rsid w:val="00FD585F"/>
    <w:rsid w:val="00FD691C"/>
    <w:rsid w:val="00FD6D31"/>
    <w:rsid w:val="00FD6EEE"/>
    <w:rsid w:val="00FD7015"/>
    <w:rsid w:val="00FD78C4"/>
    <w:rsid w:val="00FE0D71"/>
    <w:rsid w:val="00FE1454"/>
    <w:rsid w:val="00FE19DE"/>
    <w:rsid w:val="00FE1D51"/>
    <w:rsid w:val="00FE2249"/>
    <w:rsid w:val="00FE2CA2"/>
    <w:rsid w:val="00FE3C2C"/>
    <w:rsid w:val="00FE4590"/>
    <w:rsid w:val="00FE5174"/>
    <w:rsid w:val="00FE598A"/>
    <w:rsid w:val="00FE61E7"/>
    <w:rsid w:val="00FE6E61"/>
    <w:rsid w:val="00FE74E0"/>
    <w:rsid w:val="00FF03C0"/>
    <w:rsid w:val="00FF04DD"/>
    <w:rsid w:val="00FF0A2F"/>
    <w:rsid w:val="00FF0E25"/>
    <w:rsid w:val="00FF0EF5"/>
    <w:rsid w:val="00FF29E1"/>
    <w:rsid w:val="00FF2AA6"/>
    <w:rsid w:val="00FF428B"/>
    <w:rsid w:val="00FF5C82"/>
    <w:rsid w:val="00FF60D8"/>
    <w:rsid w:val="00FF6541"/>
    <w:rsid w:val="00FF65ED"/>
    <w:rsid w:val="00FF6FD3"/>
    <w:rsid w:val="012C0C99"/>
    <w:rsid w:val="017F2B29"/>
    <w:rsid w:val="01CD0151"/>
    <w:rsid w:val="01F71554"/>
    <w:rsid w:val="02005B8D"/>
    <w:rsid w:val="02032CA0"/>
    <w:rsid w:val="02062ECD"/>
    <w:rsid w:val="022E2C35"/>
    <w:rsid w:val="02CC0525"/>
    <w:rsid w:val="030B3102"/>
    <w:rsid w:val="037D44FB"/>
    <w:rsid w:val="039E11BA"/>
    <w:rsid w:val="043A50B8"/>
    <w:rsid w:val="045370A8"/>
    <w:rsid w:val="04723FDB"/>
    <w:rsid w:val="04C87066"/>
    <w:rsid w:val="051A35ED"/>
    <w:rsid w:val="05301F0E"/>
    <w:rsid w:val="053D466A"/>
    <w:rsid w:val="05B07211"/>
    <w:rsid w:val="05C15080"/>
    <w:rsid w:val="06243128"/>
    <w:rsid w:val="063B36C5"/>
    <w:rsid w:val="06DD3E47"/>
    <w:rsid w:val="07375622"/>
    <w:rsid w:val="075C629F"/>
    <w:rsid w:val="076012A9"/>
    <w:rsid w:val="076C2B3D"/>
    <w:rsid w:val="07814916"/>
    <w:rsid w:val="07D93108"/>
    <w:rsid w:val="08032E8F"/>
    <w:rsid w:val="086F3665"/>
    <w:rsid w:val="08761943"/>
    <w:rsid w:val="087E5467"/>
    <w:rsid w:val="08C046DB"/>
    <w:rsid w:val="08D33389"/>
    <w:rsid w:val="08F50682"/>
    <w:rsid w:val="091805FA"/>
    <w:rsid w:val="091A3AFD"/>
    <w:rsid w:val="0925141C"/>
    <w:rsid w:val="0955045F"/>
    <w:rsid w:val="09B671FF"/>
    <w:rsid w:val="09C23374"/>
    <w:rsid w:val="09C56195"/>
    <w:rsid w:val="09F61D50"/>
    <w:rsid w:val="0A376722"/>
    <w:rsid w:val="0A7F46C9"/>
    <w:rsid w:val="0AA4246E"/>
    <w:rsid w:val="0AB17A25"/>
    <w:rsid w:val="0ADE46E3"/>
    <w:rsid w:val="0B04049C"/>
    <w:rsid w:val="0B072024"/>
    <w:rsid w:val="0B5A630E"/>
    <w:rsid w:val="0B6902FF"/>
    <w:rsid w:val="0B7D1561"/>
    <w:rsid w:val="0B841FFD"/>
    <w:rsid w:val="0BA427F8"/>
    <w:rsid w:val="0BCA33E7"/>
    <w:rsid w:val="0C022EDE"/>
    <w:rsid w:val="0C2E36E7"/>
    <w:rsid w:val="0C4A0131"/>
    <w:rsid w:val="0C625CD5"/>
    <w:rsid w:val="0C632B6E"/>
    <w:rsid w:val="0C9738D4"/>
    <w:rsid w:val="0CCC3EB2"/>
    <w:rsid w:val="0CFB25DD"/>
    <w:rsid w:val="0D15073F"/>
    <w:rsid w:val="0D624402"/>
    <w:rsid w:val="0D7A17DA"/>
    <w:rsid w:val="0D923962"/>
    <w:rsid w:val="0DBE6D1A"/>
    <w:rsid w:val="0DCD2DC7"/>
    <w:rsid w:val="0DD04A36"/>
    <w:rsid w:val="0DEA1BCB"/>
    <w:rsid w:val="0DEC4B09"/>
    <w:rsid w:val="0EB307AE"/>
    <w:rsid w:val="0ED818B2"/>
    <w:rsid w:val="0EF01A68"/>
    <w:rsid w:val="0F126346"/>
    <w:rsid w:val="0F587271"/>
    <w:rsid w:val="0F8E37C8"/>
    <w:rsid w:val="0FBB0AF0"/>
    <w:rsid w:val="0FCA34AE"/>
    <w:rsid w:val="102A34FC"/>
    <w:rsid w:val="10921274"/>
    <w:rsid w:val="10A55B36"/>
    <w:rsid w:val="11131439"/>
    <w:rsid w:val="118240BE"/>
    <w:rsid w:val="119F737E"/>
    <w:rsid w:val="11B038B5"/>
    <w:rsid w:val="11DB35B9"/>
    <w:rsid w:val="11DE6097"/>
    <w:rsid w:val="11F83C0A"/>
    <w:rsid w:val="12972056"/>
    <w:rsid w:val="12B11DE0"/>
    <w:rsid w:val="12C40593"/>
    <w:rsid w:val="137C3B53"/>
    <w:rsid w:val="138C2AE2"/>
    <w:rsid w:val="13B12EDD"/>
    <w:rsid w:val="13EC47F1"/>
    <w:rsid w:val="14694189"/>
    <w:rsid w:val="148F7029"/>
    <w:rsid w:val="14EC357E"/>
    <w:rsid w:val="14F4466A"/>
    <w:rsid w:val="14FD6A90"/>
    <w:rsid w:val="15333622"/>
    <w:rsid w:val="153B29E4"/>
    <w:rsid w:val="159D32E5"/>
    <w:rsid w:val="15C9134E"/>
    <w:rsid w:val="15D66B43"/>
    <w:rsid w:val="15D95D65"/>
    <w:rsid w:val="1618179F"/>
    <w:rsid w:val="162B5097"/>
    <w:rsid w:val="16471D50"/>
    <w:rsid w:val="168C0CE6"/>
    <w:rsid w:val="1696521E"/>
    <w:rsid w:val="16D0730F"/>
    <w:rsid w:val="172D3B9F"/>
    <w:rsid w:val="175F306D"/>
    <w:rsid w:val="17735E41"/>
    <w:rsid w:val="17994738"/>
    <w:rsid w:val="17BE7C25"/>
    <w:rsid w:val="17EA0D22"/>
    <w:rsid w:val="18016BC3"/>
    <w:rsid w:val="1850765B"/>
    <w:rsid w:val="18613EBC"/>
    <w:rsid w:val="18826130"/>
    <w:rsid w:val="18BD0677"/>
    <w:rsid w:val="1940006F"/>
    <w:rsid w:val="19402886"/>
    <w:rsid w:val="19F5712E"/>
    <w:rsid w:val="1A4F1C91"/>
    <w:rsid w:val="1A616FE2"/>
    <w:rsid w:val="1ACC2D33"/>
    <w:rsid w:val="1BF6640B"/>
    <w:rsid w:val="1C1B2F7B"/>
    <w:rsid w:val="1C2F5F24"/>
    <w:rsid w:val="1C371EAA"/>
    <w:rsid w:val="1C4B0415"/>
    <w:rsid w:val="1C913B5A"/>
    <w:rsid w:val="1D063C4E"/>
    <w:rsid w:val="1DAD6826"/>
    <w:rsid w:val="1DE61DC7"/>
    <w:rsid w:val="1DFF0F95"/>
    <w:rsid w:val="1E0A1FB5"/>
    <w:rsid w:val="1E0F3440"/>
    <w:rsid w:val="1E3A1CC5"/>
    <w:rsid w:val="1EB93523"/>
    <w:rsid w:val="1EC55489"/>
    <w:rsid w:val="1F195066"/>
    <w:rsid w:val="1F660F3A"/>
    <w:rsid w:val="1F6E53CE"/>
    <w:rsid w:val="1FB1638B"/>
    <w:rsid w:val="1FBB3D57"/>
    <w:rsid w:val="1FD47844"/>
    <w:rsid w:val="1FDF9F2F"/>
    <w:rsid w:val="200F0462"/>
    <w:rsid w:val="203171E6"/>
    <w:rsid w:val="207C25DC"/>
    <w:rsid w:val="20A30FB8"/>
    <w:rsid w:val="20AC4ABE"/>
    <w:rsid w:val="20DC5E78"/>
    <w:rsid w:val="212A5BF7"/>
    <w:rsid w:val="213E6884"/>
    <w:rsid w:val="21405B9D"/>
    <w:rsid w:val="216147BD"/>
    <w:rsid w:val="216C4BEF"/>
    <w:rsid w:val="2174026B"/>
    <w:rsid w:val="21893052"/>
    <w:rsid w:val="21A62FC3"/>
    <w:rsid w:val="220956E7"/>
    <w:rsid w:val="22194E4C"/>
    <w:rsid w:val="22266766"/>
    <w:rsid w:val="22B267EE"/>
    <w:rsid w:val="22CD1CF0"/>
    <w:rsid w:val="23314077"/>
    <w:rsid w:val="23443CE8"/>
    <w:rsid w:val="23556DAF"/>
    <w:rsid w:val="23F004AE"/>
    <w:rsid w:val="24034DE3"/>
    <w:rsid w:val="24A32186"/>
    <w:rsid w:val="25804B6B"/>
    <w:rsid w:val="25B22B68"/>
    <w:rsid w:val="26181761"/>
    <w:rsid w:val="26270419"/>
    <w:rsid w:val="269975E3"/>
    <w:rsid w:val="26D870C8"/>
    <w:rsid w:val="273A5733"/>
    <w:rsid w:val="27BA031B"/>
    <w:rsid w:val="27D55CE6"/>
    <w:rsid w:val="281A54C9"/>
    <w:rsid w:val="2857083D"/>
    <w:rsid w:val="286A3FDB"/>
    <w:rsid w:val="288344BF"/>
    <w:rsid w:val="28A3518F"/>
    <w:rsid w:val="28AD37CB"/>
    <w:rsid w:val="28BC72EE"/>
    <w:rsid w:val="296F3889"/>
    <w:rsid w:val="297178AB"/>
    <w:rsid w:val="2A4F4D8B"/>
    <w:rsid w:val="2A5D033B"/>
    <w:rsid w:val="2A783C63"/>
    <w:rsid w:val="2A8C07DD"/>
    <w:rsid w:val="2ABAD914"/>
    <w:rsid w:val="2B0D454F"/>
    <w:rsid w:val="2B46348F"/>
    <w:rsid w:val="2B8F2AE4"/>
    <w:rsid w:val="2BD90AF3"/>
    <w:rsid w:val="2BF31029"/>
    <w:rsid w:val="2BFC0FF0"/>
    <w:rsid w:val="2CD44E7D"/>
    <w:rsid w:val="2CED4AC4"/>
    <w:rsid w:val="2D077E37"/>
    <w:rsid w:val="2D354EB8"/>
    <w:rsid w:val="2D712827"/>
    <w:rsid w:val="2E1D54E6"/>
    <w:rsid w:val="2E793DA3"/>
    <w:rsid w:val="2EA87255"/>
    <w:rsid w:val="2EAD09E3"/>
    <w:rsid w:val="2EDA686E"/>
    <w:rsid w:val="2EEFE707"/>
    <w:rsid w:val="2EFC91A7"/>
    <w:rsid w:val="2EFEE9AA"/>
    <w:rsid w:val="2F20375F"/>
    <w:rsid w:val="2F3320DE"/>
    <w:rsid w:val="2FD53BD5"/>
    <w:rsid w:val="304303A8"/>
    <w:rsid w:val="306812BC"/>
    <w:rsid w:val="3075518C"/>
    <w:rsid w:val="30AA1AFE"/>
    <w:rsid w:val="31346495"/>
    <w:rsid w:val="31B93423"/>
    <w:rsid w:val="323668DE"/>
    <w:rsid w:val="323B5B0E"/>
    <w:rsid w:val="32EA70EF"/>
    <w:rsid w:val="330B59AB"/>
    <w:rsid w:val="33287BC6"/>
    <w:rsid w:val="335456EE"/>
    <w:rsid w:val="340970DD"/>
    <w:rsid w:val="34267619"/>
    <w:rsid w:val="34324DB1"/>
    <w:rsid w:val="349D0BF0"/>
    <w:rsid w:val="34D03D25"/>
    <w:rsid w:val="34D82F6C"/>
    <w:rsid w:val="35557B47"/>
    <w:rsid w:val="3566572C"/>
    <w:rsid w:val="358B5CBA"/>
    <w:rsid w:val="35D31AFC"/>
    <w:rsid w:val="35F7F7DD"/>
    <w:rsid w:val="35FF751F"/>
    <w:rsid w:val="36014CD4"/>
    <w:rsid w:val="360B09C0"/>
    <w:rsid w:val="362870FA"/>
    <w:rsid w:val="362C03EF"/>
    <w:rsid w:val="362F4FCB"/>
    <w:rsid w:val="36307771"/>
    <w:rsid w:val="36930C15"/>
    <w:rsid w:val="36AF37C9"/>
    <w:rsid w:val="36C7007E"/>
    <w:rsid w:val="36ED5DAB"/>
    <w:rsid w:val="3749683A"/>
    <w:rsid w:val="375C511E"/>
    <w:rsid w:val="3779536F"/>
    <w:rsid w:val="37F7FA21"/>
    <w:rsid w:val="38122162"/>
    <w:rsid w:val="38677C5C"/>
    <w:rsid w:val="38BB17C7"/>
    <w:rsid w:val="38DBA930"/>
    <w:rsid w:val="3929051A"/>
    <w:rsid w:val="394F0285"/>
    <w:rsid w:val="39AE31FE"/>
    <w:rsid w:val="39DF0230"/>
    <w:rsid w:val="3A026F3D"/>
    <w:rsid w:val="3A1976E0"/>
    <w:rsid w:val="3A4B4EF0"/>
    <w:rsid w:val="3A582282"/>
    <w:rsid w:val="3A684076"/>
    <w:rsid w:val="3A6D2FBD"/>
    <w:rsid w:val="3AD4616F"/>
    <w:rsid w:val="3B985F13"/>
    <w:rsid w:val="3BAB3038"/>
    <w:rsid w:val="3BDD6417"/>
    <w:rsid w:val="3BE61C27"/>
    <w:rsid w:val="3BED242E"/>
    <w:rsid w:val="3BEE7FF1"/>
    <w:rsid w:val="3C8E7785"/>
    <w:rsid w:val="3C930CED"/>
    <w:rsid w:val="3C962968"/>
    <w:rsid w:val="3CA96ABB"/>
    <w:rsid w:val="3CDE24C6"/>
    <w:rsid w:val="3D2A7F67"/>
    <w:rsid w:val="3D5C61B8"/>
    <w:rsid w:val="3D7B7646"/>
    <w:rsid w:val="3DA9265A"/>
    <w:rsid w:val="3DBF7F93"/>
    <w:rsid w:val="3DCF780F"/>
    <w:rsid w:val="3DE418E4"/>
    <w:rsid w:val="3DE77728"/>
    <w:rsid w:val="3E026489"/>
    <w:rsid w:val="3E205FFE"/>
    <w:rsid w:val="3E4E4F06"/>
    <w:rsid w:val="3ECC4E1E"/>
    <w:rsid w:val="3EE4311C"/>
    <w:rsid w:val="3EE740F0"/>
    <w:rsid w:val="3F2216A4"/>
    <w:rsid w:val="3F37442B"/>
    <w:rsid w:val="3F7B91B9"/>
    <w:rsid w:val="3F8A67CD"/>
    <w:rsid w:val="3FE07B69"/>
    <w:rsid w:val="3FFF9CDA"/>
    <w:rsid w:val="3FFFDB78"/>
    <w:rsid w:val="401E37BD"/>
    <w:rsid w:val="40A73AC8"/>
    <w:rsid w:val="40BD0FDF"/>
    <w:rsid w:val="40DA4E47"/>
    <w:rsid w:val="412B568A"/>
    <w:rsid w:val="413A36FE"/>
    <w:rsid w:val="414A35EB"/>
    <w:rsid w:val="4151103E"/>
    <w:rsid w:val="4154549B"/>
    <w:rsid w:val="41697F5C"/>
    <w:rsid w:val="418470C8"/>
    <w:rsid w:val="41905C1D"/>
    <w:rsid w:val="419F644D"/>
    <w:rsid w:val="41F64BF6"/>
    <w:rsid w:val="42471593"/>
    <w:rsid w:val="428C0E06"/>
    <w:rsid w:val="4356153B"/>
    <w:rsid w:val="43832EC9"/>
    <w:rsid w:val="43BE545D"/>
    <w:rsid w:val="43FF55FF"/>
    <w:rsid w:val="4403545F"/>
    <w:rsid w:val="440A08B0"/>
    <w:rsid w:val="445F4788"/>
    <w:rsid w:val="447D2904"/>
    <w:rsid w:val="44A71A4C"/>
    <w:rsid w:val="44B65961"/>
    <w:rsid w:val="44C00577"/>
    <w:rsid w:val="44E9469A"/>
    <w:rsid w:val="44EB68B8"/>
    <w:rsid w:val="45217FAF"/>
    <w:rsid w:val="457F5E93"/>
    <w:rsid w:val="466E1150"/>
    <w:rsid w:val="46FE100B"/>
    <w:rsid w:val="47250EB5"/>
    <w:rsid w:val="472F5BD9"/>
    <w:rsid w:val="47525A23"/>
    <w:rsid w:val="476D1B91"/>
    <w:rsid w:val="47F23719"/>
    <w:rsid w:val="48032D11"/>
    <w:rsid w:val="48B85131"/>
    <w:rsid w:val="48E913B9"/>
    <w:rsid w:val="48EB4CA0"/>
    <w:rsid w:val="492A01AA"/>
    <w:rsid w:val="49C03611"/>
    <w:rsid w:val="4A1D3D6A"/>
    <w:rsid w:val="4A4D65B2"/>
    <w:rsid w:val="4A631737"/>
    <w:rsid w:val="4AA64DBF"/>
    <w:rsid w:val="4B182C41"/>
    <w:rsid w:val="4B5B2E73"/>
    <w:rsid w:val="4B6C4CC7"/>
    <w:rsid w:val="4B9106E2"/>
    <w:rsid w:val="4BA35EB9"/>
    <w:rsid w:val="4BC15658"/>
    <w:rsid w:val="4BC20D58"/>
    <w:rsid w:val="4C28087F"/>
    <w:rsid w:val="4C5F3BFB"/>
    <w:rsid w:val="4C6203FD"/>
    <w:rsid w:val="4C663803"/>
    <w:rsid w:val="4CAC45BA"/>
    <w:rsid w:val="4CC74F06"/>
    <w:rsid w:val="4CDA76DE"/>
    <w:rsid w:val="4CF21F28"/>
    <w:rsid w:val="4D251398"/>
    <w:rsid w:val="4D4D17A6"/>
    <w:rsid w:val="4D524AEA"/>
    <w:rsid w:val="4DA5326F"/>
    <w:rsid w:val="4DB332A6"/>
    <w:rsid w:val="4E10291E"/>
    <w:rsid w:val="4E971787"/>
    <w:rsid w:val="4EB71E32"/>
    <w:rsid w:val="4EB83C29"/>
    <w:rsid w:val="4EE7352C"/>
    <w:rsid w:val="4F5A086E"/>
    <w:rsid w:val="4FA151E4"/>
    <w:rsid w:val="4FEBB67D"/>
    <w:rsid w:val="4FF147FC"/>
    <w:rsid w:val="4FF9AC05"/>
    <w:rsid w:val="4FFC172E"/>
    <w:rsid w:val="50123D8A"/>
    <w:rsid w:val="50236B06"/>
    <w:rsid w:val="50334005"/>
    <w:rsid w:val="50334EF9"/>
    <w:rsid w:val="50891D2D"/>
    <w:rsid w:val="50955D59"/>
    <w:rsid w:val="50D8625D"/>
    <w:rsid w:val="50ED01A2"/>
    <w:rsid w:val="5107709A"/>
    <w:rsid w:val="512F5D3F"/>
    <w:rsid w:val="51BC5E2D"/>
    <w:rsid w:val="51F42069"/>
    <w:rsid w:val="52EA6014"/>
    <w:rsid w:val="53133CFA"/>
    <w:rsid w:val="53373E56"/>
    <w:rsid w:val="533F47B1"/>
    <w:rsid w:val="536A5F90"/>
    <w:rsid w:val="53FC83E4"/>
    <w:rsid w:val="540711DB"/>
    <w:rsid w:val="540B1778"/>
    <w:rsid w:val="54144A9E"/>
    <w:rsid w:val="54254C5F"/>
    <w:rsid w:val="542C1CCD"/>
    <w:rsid w:val="54517C18"/>
    <w:rsid w:val="545442C3"/>
    <w:rsid w:val="545D5EF6"/>
    <w:rsid w:val="548A0BC1"/>
    <w:rsid w:val="549D6CE0"/>
    <w:rsid w:val="54D7233D"/>
    <w:rsid w:val="55047989"/>
    <w:rsid w:val="55E718B5"/>
    <w:rsid w:val="5601756B"/>
    <w:rsid w:val="560A4CB8"/>
    <w:rsid w:val="5613612D"/>
    <w:rsid w:val="563E32A8"/>
    <w:rsid w:val="564B7CA0"/>
    <w:rsid w:val="56586FB6"/>
    <w:rsid w:val="567B6271"/>
    <w:rsid w:val="56C15534"/>
    <w:rsid w:val="56E02589"/>
    <w:rsid w:val="56F1508B"/>
    <w:rsid w:val="56F23931"/>
    <w:rsid w:val="56F43786"/>
    <w:rsid w:val="57170421"/>
    <w:rsid w:val="571957A0"/>
    <w:rsid w:val="576E21C3"/>
    <w:rsid w:val="577F1657"/>
    <w:rsid w:val="579E50CE"/>
    <w:rsid w:val="57F6A7EF"/>
    <w:rsid w:val="57FF549F"/>
    <w:rsid w:val="57FFB808"/>
    <w:rsid w:val="58114B02"/>
    <w:rsid w:val="5A2A46CB"/>
    <w:rsid w:val="5A5874C6"/>
    <w:rsid w:val="5A600155"/>
    <w:rsid w:val="5A7A2F5C"/>
    <w:rsid w:val="5A92094A"/>
    <w:rsid w:val="5B1D2082"/>
    <w:rsid w:val="5B5B3E64"/>
    <w:rsid w:val="5B5E26D5"/>
    <w:rsid w:val="5BA0449B"/>
    <w:rsid w:val="5BA22FF9"/>
    <w:rsid w:val="5BA94302"/>
    <w:rsid w:val="5BC43EDE"/>
    <w:rsid w:val="5BE01972"/>
    <w:rsid w:val="5BF86019"/>
    <w:rsid w:val="5C1129BF"/>
    <w:rsid w:val="5C127B1C"/>
    <w:rsid w:val="5C14521D"/>
    <w:rsid w:val="5C350FD5"/>
    <w:rsid w:val="5C5D5C99"/>
    <w:rsid w:val="5C76637A"/>
    <w:rsid w:val="5CA6FB5A"/>
    <w:rsid w:val="5CB92345"/>
    <w:rsid w:val="5CCE1EF8"/>
    <w:rsid w:val="5CCE7ABC"/>
    <w:rsid w:val="5CF50EA3"/>
    <w:rsid w:val="5D354D6D"/>
    <w:rsid w:val="5D5021C4"/>
    <w:rsid w:val="5D5B27A1"/>
    <w:rsid w:val="5D5F28DD"/>
    <w:rsid w:val="5D6552F4"/>
    <w:rsid w:val="5D686F31"/>
    <w:rsid w:val="5D7933AD"/>
    <w:rsid w:val="5D8271FD"/>
    <w:rsid w:val="5DA339B5"/>
    <w:rsid w:val="5DB44CC9"/>
    <w:rsid w:val="5DBA0DD1"/>
    <w:rsid w:val="5E0B315A"/>
    <w:rsid w:val="5E1C5779"/>
    <w:rsid w:val="5E561646"/>
    <w:rsid w:val="5E56661E"/>
    <w:rsid w:val="5E8A4616"/>
    <w:rsid w:val="5EE23D45"/>
    <w:rsid w:val="5EF35656"/>
    <w:rsid w:val="5EF5752C"/>
    <w:rsid w:val="5F3358CF"/>
    <w:rsid w:val="5F3648A1"/>
    <w:rsid w:val="5F3769FE"/>
    <w:rsid w:val="5F3B384B"/>
    <w:rsid w:val="5F487455"/>
    <w:rsid w:val="5F517BED"/>
    <w:rsid w:val="5F593DEE"/>
    <w:rsid w:val="5FB0107D"/>
    <w:rsid w:val="5FEB2223"/>
    <w:rsid w:val="5FF17780"/>
    <w:rsid w:val="5FF76A39"/>
    <w:rsid w:val="5FFE1047"/>
    <w:rsid w:val="601520E1"/>
    <w:rsid w:val="60160C30"/>
    <w:rsid w:val="60310352"/>
    <w:rsid w:val="60624AB6"/>
    <w:rsid w:val="60B50B3A"/>
    <w:rsid w:val="60C06ECB"/>
    <w:rsid w:val="61091C7C"/>
    <w:rsid w:val="617321F1"/>
    <w:rsid w:val="61A9BDB0"/>
    <w:rsid w:val="61DE0EB4"/>
    <w:rsid w:val="61F30D72"/>
    <w:rsid w:val="622651F6"/>
    <w:rsid w:val="623911DB"/>
    <w:rsid w:val="625552AC"/>
    <w:rsid w:val="62B91DCF"/>
    <w:rsid w:val="62F8648B"/>
    <w:rsid w:val="63105496"/>
    <w:rsid w:val="633B0C4D"/>
    <w:rsid w:val="63445381"/>
    <w:rsid w:val="634D563A"/>
    <w:rsid w:val="63976673"/>
    <w:rsid w:val="640820AD"/>
    <w:rsid w:val="64447F3D"/>
    <w:rsid w:val="64642544"/>
    <w:rsid w:val="647832E7"/>
    <w:rsid w:val="64D23FBA"/>
    <w:rsid w:val="650B3352"/>
    <w:rsid w:val="653748CB"/>
    <w:rsid w:val="65A911E5"/>
    <w:rsid w:val="65AA7966"/>
    <w:rsid w:val="65BBCA47"/>
    <w:rsid w:val="65F43F54"/>
    <w:rsid w:val="66046268"/>
    <w:rsid w:val="6608651D"/>
    <w:rsid w:val="660E127B"/>
    <w:rsid w:val="66302A27"/>
    <w:rsid w:val="66634077"/>
    <w:rsid w:val="6692388F"/>
    <w:rsid w:val="669D5667"/>
    <w:rsid w:val="66B94649"/>
    <w:rsid w:val="673335DC"/>
    <w:rsid w:val="675BC79F"/>
    <w:rsid w:val="67BFF6F6"/>
    <w:rsid w:val="67DB55B3"/>
    <w:rsid w:val="67FFA8A2"/>
    <w:rsid w:val="68213264"/>
    <w:rsid w:val="6844104D"/>
    <w:rsid w:val="68522F5F"/>
    <w:rsid w:val="68CE384C"/>
    <w:rsid w:val="68E27A9F"/>
    <w:rsid w:val="68F41FE7"/>
    <w:rsid w:val="68F42512"/>
    <w:rsid w:val="69436A9D"/>
    <w:rsid w:val="69B47654"/>
    <w:rsid w:val="6A033379"/>
    <w:rsid w:val="6A0B4BA8"/>
    <w:rsid w:val="6A174309"/>
    <w:rsid w:val="6ABD673C"/>
    <w:rsid w:val="6AC60724"/>
    <w:rsid w:val="6B3E2807"/>
    <w:rsid w:val="6B427AC6"/>
    <w:rsid w:val="6B9E82B2"/>
    <w:rsid w:val="6BA8588B"/>
    <w:rsid w:val="6BB0189C"/>
    <w:rsid w:val="6BB81397"/>
    <w:rsid w:val="6BDF8444"/>
    <w:rsid w:val="6BFF6F7B"/>
    <w:rsid w:val="6C091842"/>
    <w:rsid w:val="6C802406"/>
    <w:rsid w:val="6CA976D1"/>
    <w:rsid w:val="6CB74C59"/>
    <w:rsid w:val="6CCD40BC"/>
    <w:rsid w:val="6CCD4A26"/>
    <w:rsid w:val="6D1F2058"/>
    <w:rsid w:val="6DB70AE4"/>
    <w:rsid w:val="6DE57AF9"/>
    <w:rsid w:val="6E1D22B5"/>
    <w:rsid w:val="6E4A407E"/>
    <w:rsid w:val="6EB23E4E"/>
    <w:rsid w:val="6EC111DB"/>
    <w:rsid w:val="6ECE6718"/>
    <w:rsid w:val="6EE89B95"/>
    <w:rsid w:val="6EF609BC"/>
    <w:rsid w:val="6F104BD6"/>
    <w:rsid w:val="6F3F2E0E"/>
    <w:rsid w:val="6F5FEF5D"/>
    <w:rsid w:val="6F67111E"/>
    <w:rsid w:val="6F7FEA20"/>
    <w:rsid w:val="6F910CDD"/>
    <w:rsid w:val="6F9B5FA9"/>
    <w:rsid w:val="6FD8630F"/>
    <w:rsid w:val="6FDA008C"/>
    <w:rsid w:val="6FF1A6D6"/>
    <w:rsid w:val="70201B05"/>
    <w:rsid w:val="70291091"/>
    <w:rsid w:val="705D27E4"/>
    <w:rsid w:val="70637B3F"/>
    <w:rsid w:val="707604D4"/>
    <w:rsid w:val="709B4C86"/>
    <w:rsid w:val="7136436C"/>
    <w:rsid w:val="713708E2"/>
    <w:rsid w:val="715F3460"/>
    <w:rsid w:val="71702018"/>
    <w:rsid w:val="7171012E"/>
    <w:rsid w:val="718A7358"/>
    <w:rsid w:val="71E66C33"/>
    <w:rsid w:val="723C307A"/>
    <w:rsid w:val="726D3849"/>
    <w:rsid w:val="727662A7"/>
    <w:rsid w:val="728E2E1A"/>
    <w:rsid w:val="72AB79C6"/>
    <w:rsid w:val="72D6254E"/>
    <w:rsid w:val="72F6E3AD"/>
    <w:rsid w:val="731F143E"/>
    <w:rsid w:val="733C7A19"/>
    <w:rsid w:val="73571248"/>
    <w:rsid w:val="73607959"/>
    <w:rsid w:val="7375E94C"/>
    <w:rsid w:val="73A30043"/>
    <w:rsid w:val="73CB7009"/>
    <w:rsid w:val="73CF3870"/>
    <w:rsid w:val="73D27916"/>
    <w:rsid w:val="73D33F7F"/>
    <w:rsid w:val="73FF3A91"/>
    <w:rsid w:val="74235DE1"/>
    <w:rsid w:val="74525036"/>
    <w:rsid w:val="745C5273"/>
    <w:rsid w:val="74620B88"/>
    <w:rsid w:val="7463550A"/>
    <w:rsid w:val="74DA655D"/>
    <w:rsid w:val="74FF3AC3"/>
    <w:rsid w:val="75584928"/>
    <w:rsid w:val="75C1193B"/>
    <w:rsid w:val="75CF5154"/>
    <w:rsid w:val="75D83E8B"/>
    <w:rsid w:val="75E8E6AB"/>
    <w:rsid w:val="76104B5B"/>
    <w:rsid w:val="765432F8"/>
    <w:rsid w:val="768C6099"/>
    <w:rsid w:val="76961325"/>
    <w:rsid w:val="76C92BA3"/>
    <w:rsid w:val="76D063D1"/>
    <w:rsid w:val="76EE0C0A"/>
    <w:rsid w:val="76FA6E40"/>
    <w:rsid w:val="77145783"/>
    <w:rsid w:val="77193E72"/>
    <w:rsid w:val="778F0678"/>
    <w:rsid w:val="7793864A"/>
    <w:rsid w:val="77B07B65"/>
    <w:rsid w:val="77D7FFF9"/>
    <w:rsid w:val="77E917FD"/>
    <w:rsid w:val="77EF00F7"/>
    <w:rsid w:val="77F21ED2"/>
    <w:rsid w:val="77F93618"/>
    <w:rsid w:val="77F9C448"/>
    <w:rsid w:val="782C08AB"/>
    <w:rsid w:val="783E22D6"/>
    <w:rsid w:val="78536178"/>
    <w:rsid w:val="786C5770"/>
    <w:rsid w:val="78F24699"/>
    <w:rsid w:val="78F51FBD"/>
    <w:rsid w:val="7915631C"/>
    <w:rsid w:val="797E90C1"/>
    <w:rsid w:val="7992712A"/>
    <w:rsid w:val="799B2FDA"/>
    <w:rsid w:val="79B315B7"/>
    <w:rsid w:val="79C30A59"/>
    <w:rsid w:val="79C42B9B"/>
    <w:rsid w:val="79C67FF1"/>
    <w:rsid w:val="79D7DFBD"/>
    <w:rsid w:val="79DFC174"/>
    <w:rsid w:val="79FE4C74"/>
    <w:rsid w:val="7A4F1D94"/>
    <w:rsid w:val="7A5C555A"/>
    <w:rsid w:val="7A9E7181"/>
    <w:rsid w:val="7AAE4B3F"/>
    <w:rsid w:val="7AC96B81"/>
    <w:rsid w:val="7ACB2084"/>
    <w:rsid w:val="7AD6B343"/>
    <w:rsid w:val="7ADE0E8D"/>
    <w:rsid w:val="7AF91AC4"/>
    <w:rsid w:val="7B0B5175"/>
    <w:rsid w:val="7B1476A6"/>
    <w:rsid w:val="7B54323E"/>
    <w:rsid w:val="7B72D50B"/>
    <w:rsid w:val="7B7A65E9"/>
    <w:rsid w:val="7BD70E66"/>
    <w:rsid w:val="7BFD17F8"/>
    <w:rsid w:val="7BFF5539"/>
    <w:rsid w:val="7C09238C"/>
    <w:rsid w:val="7C414449"/>
    <w:rsid w:val="7C42096C"/>
    <w:rsid w:val="7C5F249A"/>
    <w:rsid w:val="7C686C61"/>
    <w:rsid w:val="7CA86FEA"/>
    <w:rsid w:val="7CAB43CD"/>
    <w:rsid w:val="7CBA04F6"/>
    <w:rsid w:val="7CFFDAA1"/>
    <w:rsid w:val="7D225061"/>
    <w:rsid w:val="7D2F94F8"/>
    <w:rsid w:val="7D5ABD0F"/>
    <w:rsid w:val="7D7C176A"/>
    <w:rsid w:val="7D7CB636"/>
    <w:rsid w:val="7D917500"/>
    <w:rsid w:val="7D9A70F2"/>
    <w:rsid w:val="7DC46119"/>
    <w:rsid w:val="7DD84C47"/>
    <w:rsid w:val="7DEDB14D"/>
    <w:rsid w:val="7DEFD7B4"/>
    <w:rsid w:val="7DFF15DD"/>
    <w:rsid w:val="7E259368"/>
    <w:rsid w:val="7E7C2B06"/>
    <w:rsid w:val="7E7E2495"/>
    <w:rsid w:val="7E7F9338"/>
    <w:rsid w:val="7EA16FD8"/>
    <w:rsid w:val="7EAB8963"/>
    <w:rsid w:val="7EDE045A"/>
    <w:rsid w:val="7EDE1A63"/>
    <w:rsid w:val="7EFDEEDB"/>
    <w:rsid w:val="7EFF2E4C"/>
    <w:rsid w:val="7F3F33D0"/>
    <w:rsid w:val="7F570FBD"/>
    <w:rsid w:val="7F581C9D"/>
    <w:rsid w:val="7F59AE67"/>
    <w:rsid w:val="7F5D0535"/>
    <w:rsid w:val="7F5DC84A"/>
    <w:rsid w:val="7F5F454C"/>
    <w:rsid w:val="7F6D7FDD"/>
    <w:rsid w:val="7F770370"/>
    <w:rsid w:val="7F79A150"/>
    <w:rsid w:val="7F9D1317"/>
    <w:rsid w:val="7FB0082D"/>
    <w:rsid w:val="7FC250AB"/>
    <w:rsid w:val="7FD24964"/>
    <w:rsid w:val="7FDF3410"/>
    <w:rsid w:val="7FE3535C"/>
    <w:rsid w:val="7FE37BA6"/>
    <w:rsid w:val="7FF2033F"/>
    <w:rsid w:val="7FF309B1"/>
    <w:rsid w:val="7FF7A496"/>
    <w:rsid w:val="7FFD9DE7"/>
    <w:rsid w:val="7FFDCCD0"/>
    <w:rsid w:val="7FFF023B"/>
    <w:rsid w:val="7FFF6BCA"/>
    <w:rsid w:val="7FFFA54A"/>
    <w:rsid w:val="82F875DF"/>
    <w:rsid w:val="94DB71A6"/>
    <w:rsid w:val="9DB9156A"/>
    <w:rsid w:val="9E6F9B7E"/>
    <w:rsid w:val="9FE5F2D9"/>
    <w:rsid w:val="A7FC404B"/>
    <w:rsid w:val="AAFA55F0"/>
    <w:rsid w:val="AF7F4EDF"/>
    <w:rsid w:val="B37E3F9F"/>
    <w:rsid w:val="B7AE4B9B"/>
    <w:rsid w:val="B7BD25A8"/>
    <w:rsid w:val="B7EE0DAA"/>
    <w:rsid w:val="B7EFC64F"/>
    <w:rsid w:val="B7FDFFA0"/>
    <w:rsid w:val="B9FD2EA1"/>
    <w:rsid w:val="BBFB9DA7"/>
    <w:rsid w:val="BBFBB82C"/>
    <w:rsid w:val="BCE69672"/>
    <w:rsid w:val="BDFBB841"/>
    <w:rsid w:val="BDFDED21"/>
    <w:rsid w:val="BDFF42FD"/>
    <w:rsid w:val="BE7B724C"/>
    <w:rsid w:val="BEF7BEFC"/>
    <w:rsid w:val="BF5E1563"/>
    <w:rsid w:val="BF7F2BFC"/>
    <w:rsid w:val="BFBA2FBD"/>
    <w:rsid w:val="BFF37C6E"/>
    <w:rsid w:val="C57920A2"/>
    <w:rsid w:val="C69E21FD"/>
    <w:rsid w:val="C77B1332"/>
    <w:rsid w:val="CFBFBEEC"/>
    <w:rsid w:val="CFF08E22"/>
    <w:rsid w:val="D3D86B5E"/>
    <w:rsid w:val="D3F1AD98"/>
    <w:rsid w:val="D4DFD801"/>
    <w:rsid w:val="D5536492"/>
    <w:rsid w:val="D5FC878F"/>
    <w:rsid w:val="D6FB22AB"/>
    <w:rsid w:val="D98759EE"/>
    <w:rsid w:val="DDB3BBEB"/>
    <w:rsid w:val="DDF3FEDF"/>
    <w:rsid w:val="DDFC5987"/>
    <w:rsid w:val="DE9FD0E4"/>
    <w:rsid w:val="DF9FF365"/>
    <w:rsid w:val="DFA7C9FA"/>
    <w:rsid w:val="DFD2CA5A"/>
    <w:rsid w:val="DFDADAF2"/>
    <w:rsid w:val="DFFE6647"/>
    <w:rsid w:val="E0CBB317"/>
    <w:rsid w:val="E5BF2D1F"/>
    <w:rsid w:val="E6356104"/>
    <w:rsid w:val="E75E96C3"/>
    <w:rsid w:val="E775DDE9"/>
    <w:rsid w:val="E7F79CB4"/>
    <w:rsid w:val="EA73875C"/>
    <w:rsid w:val="EBED000E"/>
    <w:rsid w:val="EDEFEF7E"/>
    <w:rsid w:val="EE7F96E9"/>
    <w:rsid w:val="EEFF652E"/>
    <w:rsid w:val="EF3F0B25"/>
    <w:rsid w:val="EF591F24"/>
    <w:rsid w:val="EF8896A0"/>
    <w:rsid w:val="EFBB6575"/>
    <w:rsid w:val="F0F53D9B"/>
    <w:rsid w:val="F1FB1089"/>
    <w:rsid w:val="F1FFB05C"/>
    <w:rsid w:val="F35FCC16"/>
    <w:rsid w:val="F5FB6AB7"/>
    <w:rsid w:val="F5FEF803"/>
    <w:rsid w:val="F6E029E6"/>
    <w:rsid w:val="F6FB3CE0"/>
    <w:rsid w:val="F6FD7E0B"/>
    <w:rsid w:val="F75FE059"/>
    <w:rsid w:val="F79DFFFE"/>
    <w:rsid w:val="F7A9008E"/>
    <w:rsid w:val="F7FF0EE8"/>
    <w:rsid w:val="F97BC5D2"/>
    <w:rsid w:val="F9AB2735"/>
    <w:rsid w:val="F9AED94E"/>
    <w:rsid w:val="F9D99E44"/>
    <w:rsid w:val="F9DFB6F5"/>
    <w:rsid w:val="FA7FA031"/>
    <w:rsid w:val="FB5F9B10"/>
    <w:rsid w:val="FBCFE669"/>
    <w:rsid w:val="FBFC6306"/>
    <w:rsid w:val="FD6EE592"/>
    <w:rsid w:val="FD7FF784"/>
    <w:rsid w:val="FDDD0D9C"/>
    <w:rsid w:val="FDDE3A54"/>
    <w:rsid w:val="FDEBB479"/>
    <w:rsid w:val="FDFB8F0D"/>
    <w:rsid w:val="FDFEED26"/>
    <w:rsid w:val="FE3F65CC"/>
    <w:rsid w:val="FEBF1426"/>
    <w:rsid w:val="FECDC2BA"/>
    <w:rsid w:val="FEE69DB1"/>
    <w:rsid w:val="FF7ADDEB"/>
    <w:rsid w:val="FF7F141F"/>
    <w:rsid w:val="FF91276F"/>
    <w:rsid w:val="FFBF1393"/>
    <w:rsid w:val="FFF74DB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803" w:firstLineChars="200"/>
      <w:jc w:val="both"/>
    </w:pPr>
    <w:rPr>
      <w:rFonts w:ascii="Times New Roman" w:hAnsi="Times New Roman" w:eastAsia="宋体" w:cstheme="minorBidi"/>
      <w:kern w:val="2"/>
      <w:sz w:val="28"/>
      <w:szCs w:val="22"/>
      <w:lang w:val="en-US" w:eastAsia="zh-CN" w:bidi="ar-SA"/>
    </w:rPr>
  </w:style>
  <w:style w:type="paragraph" w:styleId="2">
    <w:name w:val="heading 1"/>
    <w:basedOn w:val="1"/>
    <w:next w:val="1"/>
    <w:link w:val="26"/>
    <w:qFormat/>
    <w:uiPriority w:val="9"/>
    <w:pPr>
      <w:keepNext/>
      <w:keepLines/>
      <w:spacing w:beforeLines="50" w:afterLines="50"/>
      <w:ind w:firstLine="0" w:firstLineChars="0"/>
      <w:jc w:val="center"/>
      <w:outlineLvl w:val="0"/>
    </w:pPr>
    <w:rPr>
      <w:b/>
      <w:bCs/>
      <w:kern w:val="44"/>
      <w:szCs w:val="44"/>
    </w:rPr>
  </w:style>
  <w:style w:type="paragraph" w:styleId="3">
    <w:name w:val="heading 2"/>
    <w:basedOn w:val="1"/>
    <w:next w:val="1"/>
    <w:link w:val="47"/>
    <w:unhideWhenUsed/>
    <w:qFormat/>
    <w:uiPriority w:val="9"/>
    <w:pPr>
      <w:keepNext/>
      <w:keepLines/>
      <w:numPr>
        <w:ilvl w:val="1"/>
        <w:numId w:val="1"/>
      </w:numPr>
      <w:spacing w:before="156" w:beforeLines="50" w:after="156" w:afterLines="50" w:line="568" w:lineRule="exact"/>
      <w:ind w:firstLine="0" w:firstLineChars="0"/>
      <w:jc w:val="center"/>
      <w:outlineLvl w:val="1"/>
    </w:pPr>
    <w:rPr>
      <w:b/>
    </w:rPr>
  </w:style>
  <w:style w:type="paragraph" w:styleId="4">
    <w:name w:val="heading 3"/>
    <w:basedOn w:val="1"/>
    <w:next w:val="1"/>
    <w:link w:val="44"/>
    <w:unhideWhenUsed/>
    <w:qFormat/>
    <w:uiPriority w:val="9"/>
    <w:pPr>
      <w:keepNext/>
      <w:keepLines/>
      <w:jc w:val="left"/>
      <w:outlineLvl w:val="2"/>
    </w:pPr>
    <w:rPr>
      <w:rFonts w:asciiTheme="minorHAnsi" w:hAnsiTheme="minorHAnsi"/>
      <w:b/>
    </w:rPr>
  </w:style>
  <w:style w:type="paragraph" w:styleId="5">
    <w:name w:val="heading 4"/>
    <w:basedOn w:val="1"/>
    <w:next w:val="1"/>
    <w:link w:val="43"/>
    <w:semiHidden/>
    <w:unhideWhenUsed/>
    <w:qFormat/>
    <w:uiPriority w:val="0"/>
    <w:pPr>
      <w:keepNext/>
      <w:keepLines/>
      <w:spacing w:before="280" w:after="290" w:line="376" w:lineRule="auto"/>
      <w:outlineLvl w:val="3"/>
    </w:pPr>
    <w:rPr>
      <w:rFonts w:asciiTheme="majorHAnsi" w:hAnsiTheme="majorHAnsi" w:eastAsiaTheme="majorEastAsia" w:cstheme="majorBidi"/>
      <w:b/>
      <w:bCs/>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unhideWhenUsed/>
    <w:qFormat/>
    <w:uiPriority w:val="35"/>
    <w:rPr>
      <w:rFonts w:ascii="Arial" w:hAnsi="Arial" w:eastAsia="黑体"/>
      <w:sz w:val="20"/>
    </w:rPr>
  </w:style>
  <w:style w:type="paragraph" w:styleId="7">
    <w:name w:val="Document Map"/>
    <w:basedOn w:val="1"/>
    <w:link w:val="39"/>
    <w:semiHidden/>
    <w:unhideWhenUsed/>
    <w:qFormat/>
    <w:uiPriority w:val="99"/>
    <w:rPr>
      <w:rFonts w:ascii="宋体"/>
      <w:sz w:val="18"/>
      <w:szCs w:val="18"/>
    </w:rPr>
  </w:style>
  <w:style w:type="paragraph" w:styleId="8">
    <w:name w:val="annotation text"/>
    <w:basedOn w:val="1"/>
    <w:link w:val="33"/>
    <w:unhideWhenUsed/>
    <w:qFormat/>
    <w:uiPriority w:val="99"/>
    <w:pPr>
      <w:jc w:val="left"/>
    </w:pPr>
  </w:style>
  <w:style w:type="paragraph" w:styleId="9">
    <w:name w:val="Body Text"/>
    <w:basedOn w:val="1"/>
    <w:link w:val="36"/>
    <w:qFormat/>
    <w:uiPriority w:val="0"/>
    <w:pPr>
      <w:tabs>
        <w:tab w:val="left" w:pos="567"/>
      </w:tabs>
      <w:spacing w:before="120" w:line="240" w:lineRule="exact"/>
      <w:ind w:firstLine="0" w:firstLineChars="0"/>
    </w:pPr>
    <w:rPr>
      <w:rFonts w:asciiTheme="minorHAnsi" w:hAnsiTheme="minorHAnsi" w:eastAsiaTheme="minorEastAsia"/>
      <w:sz w:val="24"/>
    </w:rPr>
  </w:style>
  <w:style w:type="paragraph" w:styleId="10">
    <w:name w:val="toc 3"/>
    <w:basedOn w:val="1"/>
    <w:next w:val="1"/>
    <w:unhideWhenUsed/>
    <w:qFormat/>
    <w:uiPriority w:val="39"/>
    <w:pPr>
      <w:ind w:left="840" w:leftChars="400"/>
    </w:pPr>
  </w:style>
  <w:style w:type="paragraph" w:styleId="11">
    <w:name w:val="Plain Text"/>
    <w:basedOn w:val="1"/>
    <w:link w:val="45"/>
    <w:qFormat/>
    <w:uiPriority w:val="0"/>
    <w:pPr>
      <w:spacing w:line="400" w:lineRule="atLeast"/>
      <w:ind w:firstLine="0" w:firstLineChars="0"/>
    </w:pPr>
    <w:rPr>
      <w:rFonts w:ascii="宋体" w:hAnsi="Courier New" w:cs="Courier New"/>
      <w:sz w:val="21"/>
      <w:szCs w:val="21"/>
    </w:rPr>
  </w:style>
  <w:style w:type="paragraph" w:styleId="12">
    <w:name w:val="Date"/>
    <w:basedOn w:val="1"/>
    <w:next w:val="1"/>
    <w:link w:val="27"/>
    <w:semiHidden/>
    <w:unhideWhenUsed/>
    <w:qFormat/>
    <w:uiPriority w:val="99"/>
    <w:pPr>
      <w:ind w:left="100" w:leftChars="2500"/>
    </w:pPr>
  </w:style>
  <w:style w:type="paragraph" w:styleId="13">
    <w:name w:val="Balloon Text"/>
    <w:basedOn w:val="1"/>
    <w:link w:val="34"/>
    <w:semiHidden/>
    <w:unhideWhenUsed/>
    <w:qFormat/>
    <w:uiPriority w:val="99"/>
    <w:pPr>
      <w:spacing w:line="240" w:lineRule="auto"/>
    </w:pPr>
    <w:rPr>
      <w:sz w:val="18"/>
      <w:szCs w:val="18"/>
    </w:rPr>
  </w:style>
  <w:style w:type="paragraph" w:styleId="14">
    <w:name w:val="footer"/>
    <w:basedOn w:val="1"/>
    <w:link w:val="29"/>
    <w:unhideWhenUsed/>
    <w:qFormat/>
    <w:uiPriority w:val="99"/>
    <w:pPr>
      <w:tabs>
        <w:tab w:val="center" w:pos="4153"/>
        <w:tab w:val="right" w:pos="8306"/>
      </w:tabs>
      <w:snapToGrid w:val="0"/>
      <w:jc w:val="left"/>
    </w:pPr>
    <w:rPr>
      <w:sz w:val="18"/>
      <w:szCs w:val="18"/>
    </w:rPr>
  </w:style>
  <w:style w:type="paragraph" w:styleId="15">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style>
  <w:style w:type="paragraph" w:styleId="17">
    <w:name w:val="toc 2"/>
    <w:basedOn w:val="1"/>
    <w:next w:val="1"/>
    <w:unhideWhenUsed/>
    <w:qFormat/>
    <w:uiPriority w:val="39"/>
    <w:pPr>
      <w:ind w:left="420" w:leftChars="200"/>
    </w:pPr>
  </w:style>
  <w:style w:type="paragraph" w:styleId="18">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cs="宋体"/>
      <w:kern w:val="0"/>
      <w:sz w:val="24"/>
      <w:szCs w:val="24"/>
    </w:rPr>
  </w:style>
  <w:style w:type="paragraph" w:styleId="19">
    <w:name w:val="annotation subject"/>
    <w:basedOn w:val="8"/>
    <w:next w:val="8"/>
    <w:link w:val="40"/>
    <w:semiHidden/>
    <w:unhideWhenUsed/>
    <w:qFormat/>
    <w:uiPriority w:val="99"/>
    <w:rPr>
      <w:b/>
      <w:bCs/>
    </w:rPr>
  </w:style>
  <w:style w:type="table" w:styleId="21">
    <w:name w:val="Table Grid"/>
    <w:basedOn w:val="20"/>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3">
    <w:name w:val="Emphasis"/>
    <w:basedOn w:val="22"/>
    <w:qFormat/>
    <w:uiPriority w:val="20"/>
    <w:rPr>
      <w:i/>
      <w:iCs/>
    </w:rPr>
  </w:style>
  <w:style w:type="character" w:styleId="24">
    <w:name w:val="Hyperlink"/>
    <w:basedOn w:val="22"/>
    <w:unhideWhenUsed/>
    <w:qFormat/>
    <w:uiPriority w:val="99"/>
    <w:rPr>
      <w:color w:val="0000FF" w:themeColor="hyperlink"/>
      <w:u w:val="single"/>
      <w14:textFill>
        <w14:solidFill>
          <w14:schemeClr w14:val="hlink"/>
        </w14:solidFill>
      </w14:textFill>
    </w:rPr>
  </w:style>
  <w:style w:type="character" w:styleId="25">
    <w:name w:val="annotation reference"/>
    <w:basedOn w:val="22"/>
    <w:semiHidden/>
    <w:unhideWhenUsed/>
    <w:qFormat/>
    <w:uiPriority w:val="99"/>
    <w:rPr>
      <w:sz w:val="21"/>
      <w:szCs w:val="21"/>
    </w:rPr>
  </w:style>
  <w:style w:type="character" w:customStyle="1" w:styleId="26">
    <w:name w:val="标题 1 字符"/>
    <w:basedOn w:val="22"/>
    <w:link w:val="2"/>
    <w:qFormat/>
    <w:uiPriority w:val="9"/>
    <w:rPr>
      <w:rFonts w:ascii="Times New Roman" w:hAnsi="Times New Roman" w:eastAsia="宋体"/>
      <w:b/>
      <w:bCs/>
      <w:kern w:val="44"/>
      <w:sz w:val="28"/>
      <w:szCs w:val="44"/>
    </w:rPr>
  </w:style>
  <w:style w:type="character" w:customStyle="1" w:styleId="27">
    <w:name w:val="日期 字符"/>
    <w:basedOn w:val="22"/>
    <w:link w:val="12"/>
    <w:semiHidden/>
    <w:qFormat/>
    <w:uiPriority w:val="99"/>
  </w:style>
  <w:style w:type="character" w:customStyle="1" w:styleId="28">
    <w:name w:val="页眉 字符"/>
    <w:basedOn w:val="22"/>
    <w:link w:val="15"/>
    <w:qFormat/>
    <w:uiPriority w:val="99"/>
    <w:rPr>
      <w:sz w:val="18"/>
      <w:szCs w:val="18"/>
    </w:rPr>
  </w:style>
  <w:style w:type="character" w:customStyle="1" w:styleId="29">
    <w:name w:val="页脚 字符"/>
    <w:basedOn w:val="22"/>
    <w:link w:val="14"/>
    <w:qFormat/>
    <w:uiPriority w:val="99"/>
    <w:rPr>
      <w:sz w:val="18"/>
      <w:szCs w:val="18"/>
    </w:rPr>
  </w:style>
  <w:style w:type="paragraph" w:customStyle="1" w:styleId="30">
    <w:name w:val="段"/>
    <w:link w:val="42"/>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31">
    <w:name w:val="附录公式编号制表符"/>
    <w:basedOn w:val="1"/>
    <w:next w:val="30"/>
    <w:qFormat/>
    <w:uiPriority w:val="0"/>
    <w:pPr>
      <w:widowControl/>
      <w:tabs>
        <w:tab w:val="center" w:pos="4201"/>
        <w:tab w:val="right" w:leader="dot" w:pos="9298"/>
      </w:tabs>
      <w:autoSpaceDE w:val="0"/>
      <w:autoSpaceDN w:val="0"/>
    </w:pPr>
    <w:rPr>
      <w:rFonts w:ascii="宋体"/>
      <w:kern w:val="0"/>
      <w:szCs w:val="20"/>
    </w:rPr>
  </w:style>
  <w:style w:type="paragraph" w:customStyle="1" w:styleId="32">
    <w:name w:val="章标题"/>
    <w:next w:val="30"/>
    <w:qFormat/>
    <w:uiPriority w:val="0"/>
    <w:pPr>
      <w:numPr>
        <w:ilvl w:val="0"/>
        <w:numId w:val="2"/>
      </w:numPr>
      <w:spacing w:beforeLines="100" w:afterLines="100"/>
      <w:jc w:val="both"/>
      <w:outlineLvl w:val="1"/>
    </w:pPr>
    <w:rPr>
      <w:rFonts w:ascii="黑体" w:hAnsi="Times New Roman" w:eastAsia="黑体" w:cs="Times New Roman"/>
      <w:sz w:val="21"/>
      <w:lang w:val="en-US" w:eastAsia="zh-CN" w:bidi="ar-SA"/>
    </w:rPr>
  </w:style>
  <w:style w:type="character" w:customStyle="1" w:styleId="33">
    <w:name w:val="批注文字 字符"/>
    <w:basedOn w:val="22"/>
    <w:link w:val="8"/>
    <w:qFormat/>
    <w:uiPriority w:val="99"/>
    <w:rPr>
      <w:rFonts w:ascii="Times New Roman" w:hAnsi="Times New Roman" w:eastAsia="仿宋_GB2312"/>
      <w:kern w:val="2"/>
      <w:sz w:val="30"/>
      <w:szCs w:val="22"/>
    </w:rPr>
  </w:style>
  <w:style w:type="character" w:customStyle="1" w:styleId="34">
    <w:name w:val="批注框文本 字符"/>
    <w:basedOn w:val="22"/>
    <w:link w:val="13"/>
    <w:semiHidden/>
    <w:qFormat/>
    <w:uiPriority w:val="99"/>
    <w:rPr>
      <w:rFonts w:ascii="Times New Roman" w:hAnsi="Times New Roman" w:eastAsia="仿宋_GB2312"/>
      <w:kern w:val="2"/>
      <w:sz w:val="18"/>
      <w:szCs w:val="18"/>
    </w:rPr>
  </w:style>
  <w:style w:type="paragraph" w:styleId="35">
    <w:name w:val="List Paragraph"/>
    <w:basedOn w:val="1"/>
    <w:qFormat/>
    <w:uiPriority w:val="99"/>
    <w:pPr>
      <w:ind w:firstLine="420"/>
    </w:pPr>
  </w:style>
  <w:style w:type="character" w:customStyle="1" w:styleId="36">
    <w:name w:val="正文文本 字符"/>
    <w:basedOn w:val="22"/>
    <w:link w:val="9"/>
    <w:qFormat/>
    <w:uiPriority w:val="0"/>
    <w:rPr>
      <w:kern w:val="2"/>
      <w:sz w:val="24"/>
      <w:szCs w:val="22"/>
    </w:rPr>
  </w:style>
  <w:style w:type="paragraph" w:customStyle="1" w:styleId="37">
    <w:name w:val="Table Paragraph"/>
    <w:basedOn w:val="1"/>
    <w:qFormat/>
    <w:uiPriority w:val="1"/>
    <w:pPr>
      <w:spacing w:line="240" w:lineRule="auto"/>
      <w:ind w:firstLine="0" w:firstLineChars="0"/>
    </w:pPr>
    <w:rPr>
      <w:rFonts w:cs="Times New Roman"/>
      <w:sz w:val="21"/>
      <w:szCs w:val="24"/>
    </w:rPr>
  </w:style>
  <w:style w:type="paragraph" w:customStyle="1" w:styleId="38">
    <w:name w:val="附录标识"/>
    <w:basedOn w:val="1"/>
    <w:next w:val="30"/>
    <w:qFormat/>
    <w:uiPriority w:val="0"/>
    <w:pPr>
      <w:keepNext/>
      <w:widowControl/>
      <w:numPr>
        <w:ilvl w:val="0"/>
        <w:numId w:val="3"/>
      </w:numPr>
      <w:shd w:val="clear" w:color="FFFFFF" w:fill="FFFFFF"/>
      <w:tabs>
        <w:tab w:val="left" w:pos="360"/>
        <w:tab w:val="left" w:pos="6405"/>
      </w:tabs>
      <w:spacing w:before="640" w:after="280"/>
      <w:jc w:val="center"/>
      <w:outlineLvl w:val="0"/>
    </w:pPr>
    <w:rPr>
      <w:rFonts w:ascii="黑体" w:eastAsia="黑体"/>
      <w:kern w:val="0"/>
      <w:szCs w:val="20"/>
    </w:rPr>
  </w:style>
  <w:style w:type="character" w:customStyle="1" w:styleId="39">
    <w:name w:val="文档结构图 字符"/>
    <w:basedOn w:val="22"/>
    <w:link w:val="7"/>
    <w:semiHidden/>
    <w:qFormat/>
    <w:uiPriority w:val="99"/>
    <w:rPr>
      <w:rFonts w:ascii="宋体" w:cstheme="minorBidi"/>
      <w:kern w:val="2"/>
      <w:sz w:val="18"/>
      <w:szCs w:val="18"/>
    </w:rPr>
  </w:style>
  <w:style w:type="character" w:customStyle="1" w:styleId="40">
    <w:name w:val="批注主题 字符"/>
    <w:basedOn w:val="33"/>
    <w:link w:val="19"/>
    <w:semiHidden/>
    <w:qFormat/>
    <w:uiPriority w:val="99"/>
    <w:rPr>
      <w:rFonts w:ascii="Times New Roman" w:hAnsi="Times New Roman" w:eastAsia="仿宋_GB2312" w:cstheme="minorBidi"/>
      <w:b/>
      <w:bCs/>
      <w:kern w:val="2"/>
      <w:sz w:val="30"/>
      <w:szCs w:val="22"/>
    </w:rPr>
  </w:style>
  <w:style w:type="paragraph" w:customStyle="1" w:styleId="41">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42">
    <w:name w:val="段 Char"/>
    <w:link w:val="30"/>
    <w:qFormat/>
    <w:uiPriority w:val="0"/>
    <w:rPr>
      <w:rFonts w:ascii="宋体"/>
      <w:sz w:val="21"/>
    </w:rPr>
  </w:style>
  <w:style w:type="character" w:customStyle="1" w:styleId="43">
    <w:name w:val="标题 4 字符"/>
    <w:basedOn w:val="22"/>
    <w:link w:val="5"/>
    <w:semiHidden/>
    <w:qFormat/>
    <w:uiPriority w:val="0"/>
    <w:rPr>
      <w:rFonts w:asciiTheme="majorHAnsi" w:hAnsiTheme="majorHAnsi" w:eastAsiaTheme="majorEastAsia" w:cstheme="majorBidi"/>
      <w:b/>
      <w:bCs/>
      <w:kern w:val="2"/>
      <w:sz w:val="28"/>
      <w:szCs w:val="28"/>
    </w:rPr>
  </w:style>
  <w:style w:type="character" w:customStyle="1" w:styleId="44">
    <w:name w:val="标题 3 字符"/>
    <w:basedOn w:val="22"/>
    <w:link w:val="4"/>
    <w:qFormat/>
    <w:uiPriority w:val="9"/>
    <w:rPr>
      <w:rFonts w:eastAsia="宋体" w:asciiTheme="minorHAnsi" w:hAnsiTheme="minorHAnsi" w:cstheme="minorBidi"/>
      <w:b/>
      <w:kern w:val="2"/>
      <w:sz w:val="28"/>
      <w:szCs w:val="22"/>
    </w:rPr>
  </w:style>
  <w:style w:type="character" w:customStyle="1" w:styleId="45">
    <w:name w:val="纯文本 字符"/>
    <w:basedOn w:val="22"/>
    <w:link w:val="11"/>
    <w:qFormat/>
    <w:uiPriority w:val="0"/>
    <w:rPr>
      <w:rFonts w:ascii="宋体" w:hAnsi="Courier New" w:cs="Courier New"/>
      <w:kern w:val="2"/>
      <w:sz w:val="21"/>
      <w:szCs w:val="21"/>
    </w:rPr>
  </w:style>
  <w:style w:type="character" w:customStyle="1" w:styleId="46">
    <w:name w:val="gray"/>
    <w:basedOn w:val="22"/>
    <w:qFormat/>
    <w:uiPriority w:val="0"/>
  </w:style>
  <w:style w:type="character" w:customStyle="1" w:styleId="47">
    <w:name w:val="标题 2 字符"/>
    <w:basedOn w:val="22"/>
    <w:link w:val="3"/>
    <w:qFormat/>
    <w:uiPriority w:val="9"/>
    <w:rPr>
      <w:rFonts w:cstheme="minorBidi"/>
      <w:b/>
      <w:kern w:val="2"/>
      <w:sz w:val="28"/>
      <w:szCs w:val="22"/>
    </w:rPr>
  </w:style>
  <w:style w:type="table" w:customStyle="1" w:styleId="48">
    <w:name w:val="网格型1"/>
    <w:basedOn w:val="20"/>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9">
    <w:name w:val="TOC 标题1"/>
    <w:basedOn w:val="2"/>
    <w:next w:val="1"/>
    <w:unhideWhenUsed/>
    <w:qFormat/>
    <w:uiPriority w:val="39"/>
    <w:pPr>
      <w:widowControl/>
      <w:spacing w:before="240" w:beforeLines="0" w:afterLines="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50">
    <w:name w:val="表格"/>
    <w:qFormat/>
    <w:uiPriority w:val="0"/>
    <w:pPr>
      <w:widowControl w:val="0"/>
      <w:autoSpaceDE w:val="0"/>
      <w:autoSpaceDN w:val="0"/>
      <w:adjustRightInd w:val="0"/>
      <w:jc w:val="center"/>
    </w:pPr>
    <w:rPr>
      <w:rFonts w:cs="宋体" w:asciiTheme="minorHAnsi" w:hAnsiTheme="minorHAnsi" w:eastAsiaTheme="minorEastAsia"/>
      <w:color w:val="000000"/>
      <w:sz w:val="18"/>
      <w:szCs w:val="24"/>
      <w:lang w:val="en-US" w:eastAsia="zh-CN" w:bidi="ar-SA"/>
    </w:rPr>
  </w:style>
  <w:style w:type="paragraph" w:customStyle="1" w:styleId="51">
    <w:name w:val="修订1"/>
    <w:hidden/>
    <w:semiHidden/>
    <w:qFormat/>
    <w:uiPriority w:val="99"/>
    <w:rPr>
      <w:rFonts w:ascii="Times New Roman" w:hAnsi="Times New Roman" w:eastAsia="宋体" w:cstheme="minorBidi"/>
      <w:kern w:val="2"/>
      <w:sz w:val="28"/>
      <w:szCs w:val="22"/>
      <w:lang w:val="en-US" w:eastAsia="zh-CN" w:bidi="ar-SA"/>
    </w:rPr>
  </w:style>
  <w:style w:type="character" w:customStyle="1" w:styleId="52">
    <w:name w:val="NormalCharacter"/>
    <w:semiHidden/>
    <w:qFormat/>
    <w:uiPriority w:val="0"/>
  </w:style>
  <w:style w:type="paragraph" w:customStyle="1" w:styleId="53">
    <w:name w:val="修订2"/>
    <w:hidden/>
    <w:semiHidden/>
    <w:qFormat/>
    <w:uiPriority w:val="99"/>
    <w:rPr>
      <w:rFonts w:ascii="Times New Roman" w:hAnsi="Times New Roman" w:eastAsia="宋体" w:cstheme="minorBidi"/>
      <w:kern w:val="2"/>
      <w:sz w:val="28"/>
      <w:szCs w:val="22"/>
      <w:lang w:val="en-US" w:eastAsia="zh-CN" w:bidi="ar-SA"/>
    </w:rPr>
  </w:style>
  <w:style w:type="paragraph" w:customStyle="1" w:styleId="54">
    <w:name w:val="修订3"/>
    <w:hidden/>
    <w:semiHidden/>
    <w:qFormat/>
    <w:uiPriority w:val="99"/>
    <w:rPr>
      <w:rFonts w:ascii="Times New Roman" w:hAnsi="Times New Roman" w:eastAsia="宋体" w:cstheme="minorBidi"/>
      <w:kern w:val="2"/>
      <w:sz w:val="28"/>
      <w:szCs w:val="22"/>
      <w:lang w:val="en-US" w:eastAsia="zh-CN" w:bidi="ar-SA"/>
    </w:rPr>
  </w:style>
  <w:style w:type="paragraph" w:customStyle="1" w:styleId="55">
    <w:name w:val="修订4"/>
    <w:hidden/>
    <w:semiHidden/>
    <w:qFormat/>
    <w:uiPriority w:val="99"/>
    <w:rPr>
      <w:rFonts w:ascii="Times New Roman" w:hAnsi="Times New Roman" w:eastAsia="宋体" w:cstheme="minorBidi"/>
      <w:kern w:val="2"/>
      <w:sz w:val="28"/>
      <w:szCs w:val="22"/>
      <w:lang w:val="en-US" w:eastAsia="zh-CN" w:bidi="ar-SA"/>
    </w:rPr>
  </w:style>
  <w:style w:type="paragraph" w:customStyle="1" w:styleId="56">
    <w:name w:val="修订5"/>
    <w:hidden/>
    <w:semiHidden/>
    <w:qFormat/>
    <w:uiPriority w:val="99"/>
    <w:rPr>
      <w:rFonts w:ascii="Times New Roman" w:hAnsi="Times New Roman" w:eastAsia="宋体" w:cstheme="minorBidi"/>
      <w:kern w:val="2"/>
      <w:sz w:val="28"/>
      <w:szCs w:val="22"/>
      <w:lang w:val="en-US" w:eastAsia="zh-CN" w:bidi="ar-SA"/>
    </w:rPr>
  </w:style>
  <w:style w:type="paragraph" w:customStyle="1" w:styleId="57">
    <w:name w:val="Revision"/>
    <w:hidden/>
    <w:semiHidden/>
    <w:qFormat/>
    <w:uiPriority w:val="99"/>
    <w:rPr>
      <w:rFonts w:ascii="Times New Roman" w:hAnsi="Times New Roman" w:eastAsia="宋体" w:cstheme="minorBidi"/>
      <w:kern w:val="2"/>
      <w:sz w:val="28"/>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customXml" Target="../customXml/item4.xml"/><Relationship Id="rId23" Type="http://schemas.openxmlformats.org/officeDocument/2006/relationships/customXml" Target="../customXml/item3.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5.xml"/><Relationship Id="rId17" Type="http://schemas.openxmlformats.org/officeDocument/2006/relationships/header" Target="header9.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relations xmlns="http://www.yonyou.com/relation"/>
</file>

<file path=customXml/item4.xml><?xml version="1.0" encoding="utf-8"?>
<dataSourceCollection xmlns="http://www.yonyou.com/datasourc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376BB0-0AE2-4153-897F-6AA77F3CDEE4}">
  <ds:schemaRefs/>
</ds:datastoreItem>
</file>

<file path=customXml/itemProps3.xml><?xml version="1.0" encoding="utf-8"?>
<ds:datastoreItem xmlns:ds="http://schemas.openxmlformats.org/officeDocument/2006/customXml" ds:itemID="{4071057B-B868-4305-93FC-EF18828704C7}">
  <ds:schemaRefs/>
</ds:datastoreItem>
</file>

<file path=customXml/itemProps4.xml><?xml version="1.0" encoding="utf-8"?>
<ds:datastoreItem xmlns:ds="http://schemas.openxmlformats.org/officeDocument/2006/customXml" ds:itemID="{B7AF44DA-9EAE-4B73-B1BA-65EB68AD03F9}">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59</Pages>
  <Words>1827</Words>
  <Characters>2231</Characters>
  <Lines>283</Lines>
  <Paragraphs>79</Paragraphs>
  <TotalTime>49</TotalTime>
  <ScaleCrop>false</ScaleCrop>
  <LinksUpToDate>false</LinksUpToDate>
  <CharactersWithSpaces>2561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2025-01-03T07:06:00Z</dcterms:created>
  <dc:creator>王珊珊</dc:creator>
  <cp:lastModifiedBy>陈斌</cp:lastModifiedBy>
  <cp:lastPrinted>2025-01-06T05:44:00Z</cp:lastPrinted>
  <dcterms:modified xsi:type="dcterms:W3CDTF">2025-01-10T07:20:38Z</dcterms:modified>
  <dc:title>附件：</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C030BB29923A426099F7444C1642A735_13</vt:lpwstr>
  </property>
  <property fmtid="{D5CDD505-2E9C-101B-9397-08002B2CF9AE}" pid="4" name="KSOTemplateDocerSaveRecord">
    <vt:lpwstr>eyJoZGlkIjoiMjJhMWU3OGVhNjBiNjIwYzkyYmJlODQ5ZTA4OTQ3NjciLCJ1c2VySWQiOiIzOTEyOTg4ODIifQ==</vt:lpwstr>
  </property>
</Properties>
</file>